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D474" w14:textId="440790D2" w:rsidR="0085555E" w:rsidRPr="00512B40" w:rsidRDefault="0085555E" w:rsidP="00512B40">
      <w:pPr>
        <w:pStyle w:val="Title"/>
        <w:rPr>
          <w:b/>
          <w:bCs/>
          <w:sz w:val="44"/>
          <w:szCs w:val="44"/>
        </w:rPr>
      </w:pPr>
      <w:r w:rsidRPr="00512B40">
        <w:rPr>
          <w:b/>
          <w:bCs/>
          <w:sz w:val="44"/>
          <w:szCs w:val="44"/>
        </w:rPr>
        <w:t>Terms of reference</w:t>
      </w:r>
      <w:r w:rsidR="003C7812" w:rsidRPr="00512B40">
        <w:rPr>
          <w:b/>
          <w:bCs/>
          <w:sz w:val="44"/>
          <w:szCs w:val="44"/>
        </w:rPr>
        <w:t xml:space="preserve"> baseline study </w:t>
      </w:r>
      <w:proofErr w:type="spellStart"/>
      <w:r w:rsidR="003C7812" w:rsidRPr="00512B40">
        <w:rPr>
          <w:b/>
          <w:bCs/>
          <w:sz w:val="44"/>
          <w:szCs w:val="44"/>
        </w:rPr>
        <w:t>Amahoro</w:t>
      </w:r>
      <w:proofErr w:type="spellEnd"/>
      <w:r w:rsidR="003C7812" w:rsidRPr="00512B40">
        <w:rPr>
          <w:b/>
          <w:bCs/>
          <w:sz w:val="44"/>
          <w:szCs w:val="44"/>
        </w:rPr>
        <w:t>-at-Scale</w:t>
      </w:r>
    </w:p>
    <w:p w14:paraId="22C3A1D3" w14:textId="4623D220" w:rsidR="003C7812" w:rsidRDefault="003C7812" w:rsidP="003C7812">
      <w:pPr>
        <w:pStyle w:val="NoSpacing"/>
        <w:jc w:val="center"/>
      </w:pPr>
    </w:p>
    <w:p w14:paraId="6740F17C" w14:textId="61DD5B55" w:rsidR="003C7812" w:rsidRPr="00D84CCB" w:rsidRDefault="003C7812" w:rsidP="00E106B9">
      <w:pPr>
        <w:pStyle w:val="Heading1"/>
        <w:numPr>
          <w:ilvl w:val="0"/>
          <w:numId w:val="2"/>
        </w:numPr>
        <w:rPr>
          <w:b/>
          <w:bCs/>
          <w:color w:val="auto"/>
        </w:rPr>
      </w:pPr>
      <w:r w:rsidRPr="00D84CCB">
        <w:rPr>
          <w:b/>
          <w:bCs/>
          <w:color w:val="auto"/>
        </w:rPr>
        <w:t>Introduction</w:t>
      </w:r>
    </w:p>
    <w:tbl>
      <w:tblPr>
        <w:tblStyle w:val="TableGrid"/>
        <w:tblpPr w:leftFromText="180" w:rightFromText="180" w:vertAnchor="text" w:horzAnchor="margin" w:tblpY="3379"/>
        <w:tblW w:w="0" w:type="auto"/>
        <w:tblLook w:val="04A0" w:firstRow="1" w:lastRow="0" w:firstColumn="1" w:lastColumn="0" w:noHBand="0" w:noVBand="1"/>
      </w:tblPr>
      <w:tblGrid>
        <w:gridCol w:w="2972"/>
        <w:gridCol w:w="6378"/>
      </w:tblGrid>
      <w:tr w:rsidR="00DA3BBF" w14:paraId="3CA4FAC3" w14:textId="77777777" w:rsidTr="00DA3BBF">
        <w:tc>
          <w:tcPr>
            <w:tcW w:w="2972" w:type="dxa"/>
          </w:tcPr>
          <w:p w14:paraId="1F7B7016" w14:textId="77777777" w:rsidR="00DA3BBF" w:rsidRPr="00B43A04" w:rsidRDefault="00DA3BBF" w:rsidP="00DA3BBF">
            <w:pPr>
              <w:rPr>
                <w:b/>
                <w:bCs/>
              </w:rPr>
            </w:pPr>
            <w:r>
              <w:rPr>
                <w:b/>
                <w:bCs/>
              </w:rPr>
              <w:t>Project Name</w:t>
            </w:r>
          </w:p>
        </w:tc>
        <w:tc>
          <w:tcPr>
            <w:tcW w:w="6378" w:type="dxa"/>
          </w:tcPr>
          <w:p w14:paraId="5D87C532" w14:textId="77777777" w:rsidR="00DA3BBF" w:rsidRPr="00B43A04" w:rsidRDefault="00DA3BBF" w:rsidP="00DA3BBF">
            <w:proofErr w:type="spellStart"/>
            <w:r>
              <w:t>Amahoro</w:t>
            </w:r>
            <w:proofErr w:type="spellEnd"/>
            <w:r>
              <w:t xml:space="preserve"> @ Scale (Peace -at- Scale) - </w:t>
            </w:r>
            <w:r w:rsidRPr="00B43A04">
              <w:rPr>
                <w:i/>
                <w:iCs/>
              </w:rPr>
              <w:t>An integrated approach towards improved tenure security and land governance in Burundi</w:t>
            </w:r>
          </w:p>
        </w:tc>
      </w:tr>
      <w:tr w:rsidR="00DA3BBF" w14:paraId="00E7D0AE" w14:textId="77777777" w:rsidTr="00DA3BBF">
        <w:tc>
          <w:tcPr>
            <w:tcW w:w="2972" w:type="dxa"/>
          </w:tcPr>
          <w:p w14:paraId="2034DE63" w14:textId="77777777" w:rsidR="00DA3BBF" w:rsidRPr="00B43A04" w:rsidRDefault="00DA3BBF" w:rsidP="00DA3BBF">
            <w:pPr>
              <w:rPr>
                <w:b/>
                <w:bCs/>
              </w:rPr>
            </w:pPr>
            <w:r w:rsidRPr="00B43A04">
              <w:rPr>
                <w:b/>
                <w:bCs/>
              </w:rPr>
              <w:t>Donor</w:t>
            </w:r>
          </w:p>
        </w:tc>
        <w:tc>
          <w:tcPr>
            <w:tcW w:w="6378" w:type="dxa"/>
          </w:tcPr>
          <w:p w14:paraId="274443BF" w14:textId="77777777" w:rsidR="00DA3BBF" w:rsidRDefault="00DA3BBF" w:rsidP="00DA3BBF">
            <w:r>
              <w:t>RVO Netherlands</w:t>
            </w:r>
          </w:p>
        </w:tc>
      </w:tr>
      <w:tr w:rsidR="00DA3BBF" w14:paraId="60197C7A" w14:textId="77777777" w:rsidTr="00DA3BBF">
        <w:tc>
          <w:tcPr>
            <w:tcW w:w="2972" w:type="dxa"/>
          </w:tcPr>
          <w:p w14:paraId="583D51F7" w14:textId="77777777" w:rsidR="00DA3BBF" w:rsidRPr="00B43A04" w:rsidRDefault="00DA3BBF" w:rsidP="00DA3BBF">
            <w:pPr>
              <w:rPr>
                <w:b/>
                <w:bCs/>
              </w:rPr>
            </w:pPr>
            <w:r w:rsidRPr="00B43A04">
              <w:rPr>
                <w:b/>
                <w:bCs/>
              </w:rPr>
              <w:t>Intervention zone</w:t>
            </w:r>
          </w:p>
        </w:tc>
        <w:tc>
          <w:tcPr>
            <w:tcW w:w="6378" w:type="dxa"/>
          </w:tcPr>
          <w:p w14:paraId="437E57C2" w14:textId="77777777" w:rsidR="00DA3BBF" w:rsidRDefault="00DA3BBF" w:rsidP="00DA3BBF">
            <w:r>
              <w:t>Nyanza Lac District in Makamba Province in Burundi.</w:t>
            </w:r>
          </w:p>
          <w:p w14:paraId="60F98969" w14:textId="77777777" w:rsidR="00DA3BBF" w:rsidRDefault="00DA3BBF" w:rsidP="00DA3BBF">
            <w:r>
              <w:t>Different actors in the land rights sector in Burundi on different levels.</w:t>
            </w:r>
          </w:p>
        </w:tc>
      </w:tr>
      <w:tr w:rsidR="00DA3BBF" w14:paraId="15B4ED29" w14:textId="77777777" w:rsidTr="00DA3BBF">
        <w:tc>
          <w:tcPr>
            <w:tcW w:w="2972" w:type="dxa"/>
          </w:tcPr>
          <w:p w14:paraId="4CC92D69" w14:textId="77777777" w:rsidR="00DA3BBF" w:rsidRPr="00B43A04" w:rsidRDefault="00DA3BBF" w:rsidP="00DA3BBF">
            <w:pPr>
              <w:rPr>
                <w:b/>
                <w:bCs/>
              </w:rPr>
            </w:pPr>
            <w:r>
              <w:rPr>
                <w:b/>
                <w:bCs/>
              </w:rPr>
              <w:t>Inception phase</w:t>
            </w:r>
          </w:p>
        </w:tc>
        <w:tc>
          <w:tcPr>
            <w:tcW w:w="6378" w:type="dxa"/>
          </w:tcPr>
          <w:p w14:paraId="5CDFEDDC" w14:textId="77777777" w:rsidR="00DA3BBF" w:rsidRDefault="00DA3BBF" w:rsidP="00DA3BBF">
            <w:r>
              <w:t>1 December 2021 – 31 May 2022</w:t>
            </w:r>
          </w:p>
        </w:tc>
      </w:tr>
      <w:tr w:rsidR="00DA3BBF" w14:paraId="26612FE6" w14:textId="77777777" w:rsidTr="00DA3BBF">
        <w:tc>
          <w:tcPr>
            <w:tcW w:w="2972" w:type="dxa"/>
          </w:tcPr>
          <w:p w14:paraId="58FB085F" w14:textId="77777777" w:rsidR="00DA3BBF" w:rsidRDefault="00DA3BBF" w:rsidP="00DA3BBF">
            <w:pPr>
              <w:rPr>
                <w:b/>
                <w:bCs/>
              </w:rPr>
            </w:pPr>
            <w:r>
              <w:rPr>
                <w:b/>
                <w:bCs/>
              </w:rPr>
              <w:t>Implementation phase</w:t>
            </w:r>
          </w:p>
        </w:tc>
        <w:tc>
          <w:tcPr>
            <w:tcW w:w="6378" w:type="dxa"/>
          </w:tcPr>
          <w:p w14:paraId="317D137B" w14:textId="77777777" w:rsidR="00DA3BBF" w:rsidRDefault="00DA3BBF" w:rsidP="00DA3BBF">
            <w:r>
              <w:t>1 June 2022 – 31 May 2025</w:t>
            </w:r>
          </w:p>
        </w:tc>
      </w:tr>
      <w:tr w:rsidR="00DA3BBF" w14:paraId="07236A63" w14:textId="77777777" w:rsidTr="00DA3BBF">
        <w:tc>
          <w:tcPr>
            <w:tcW w:w="2972" w:type="dxa"/>
          </w:tcPr>
          <w:p w14:paraId="797758B4" w14:textId="77777777" w:rsidR="00DA3BBF" w:rsidRPr="00B43A04" w:rsidRDefault="00DA3BBF" w:rsidP="00DA3BBF">
            <w:pPr>
              <w:rPr>
                <w:b/>
                <w:bCs/>
              </w:rPr>
            </w:pPr>
            <w:r>
              <w:rPr>
                <w:b/>
                <w:bCs/>
              </w:rPr>
              <w:t>Impact</w:t>
            </w:r>
          </w:p>
        </w:tc>
        <w:tc>
          <w:tcPr>
            <w:tcW w:w="6378" w:type="dxa"/>
          </w:tcPr>
          <w:p w14:paraId="7292DC89" w14:textId="77777777" w:rsidR="00DA3BBF" w:rsidRDefault="00DA3BBF" w:rsidP="00DA3BBF">
            <w:r>
              <w:t>Contributing to improved tenure security and land governance in Burundi.</w:t>
            </w:r>
          </w:p>
        </w:tc>
      </w:tr>
      <w:tr w:rsidR="00DA3BBF" w14:paraId="3E758CB2" w14:textId="77777777" w:rsidTr="00DA3BBF">
        <w:tc>
          <w:tcPr>
            <w:tcW w:w="2972" w:type="dxa"/>
            <w:vMerge w:val="restart"/>
          </w:tcPr>
          <w:p w14:paraId="74B4F9C1" w14:textId="77777777" w:rsidR="00DA3BBF" w:rsidRPr="00B43A04" w:rsidRDefault="00DA3BBF" w:rsidP="00DA3BBF">
            <w:pPr>
              <w:rPr>
                <w:b/>
                <w:bCs/>
              </w:rPr>
            </w:pPr>
            <w:r>
              <w:rPr>
                <w:b/>
                <w:bCs/>
              </w:rPr>
              <w:t xml:space="preserve">Project outcomes </w:t>
            </w:r>
          </w:p>
          <w:p w14:paraId="5DDE5E3E" w14:textId="77777777" w:rsidR="00DA3BBF" w:rsidRPr="00B43A04" w:rsidRDefault="00DA3BBF" w:rsidP="00DA3BBF">
            <w:pPr>
              <w:rPr>
                <w:b/>
                <w:bCs/>
              </w:rPr>
            </w:pPr>
          </w:p>
        </w:tc>
        <w:tc>
          <w:tcPr>
            <w:tcW w:w="6378" w:type="dxa"/>
          </w:tcPr>
          <w:p w14:paraId="36D2578D" w14:textId="54DDCE91" w:rsidR="00DA3BBF" w:rsidRDefault="00DA3BBF" w:rsidP="00DA3BBF">
            <w:r>
              <w:rPr>
                <w:b/>
                <w:bCs/>
              </w:rPr>
              <w:t xml:space="preserve">Outcome 1 </w:t>
            </w:r>
            <w:r w:rsidRPr="00B43A04">
              <w:t xml:space="preserve">The tested LTR approach is implemented in Nyanza Lac </w:t>
            </w:r>
            <w:r w:rsidR="0079721A">
              <w:t>district</w:t>
            </w:r>
            <w:r w:rsidRPr="00B43A04">
              <w:t xml:space="preserve"> through the sustainable operationalization of the SFC</w:t>
            </w:r>
            <w:r>
              <w:t>.</w:t>
            </w:r>
          </w:p>
        </w:tc>
      </w:tr>
      <w:tr w:rsidR="00DA3BBF" w14:paraId="3EA28091" w14:textId="77777777" w:rsidTr="00DA3BBF">
        <w:tc>
          <w:tcPr>
            <w:tcW w:w="2972" w:type="dxa"/>
            <w:vMerge/>
          </w:tcPr>
          <w:p w14:paraId="3EA365A7" w14:textId="77777777" w:rsidR="00DA3BBF" w:rsidRPr="00B43A04" w:rsidRDefault="00DA3BBF" w:rsidP="00DA3BBF">
            <w:pPr>
              <w:rPr>
                <w:b/>
                <w:bCs/>
              </w:rPr>
            </w:pPr>
          </w:p>
        </w:tc>
        <w:tc>
          <w:tcPr>
            <w:tcW w:w="6378" w:type="dxa"/>
          </w:tcPr>
          <w:p w14:paraId="1D7F7B1B" w14:textId="77777777" w:rsidR="00DA3BBF" w:rsidRPr="00B43A04" w:rsidRDefault="00DA3BBF" w:rsidP="00DA3BBF">
            <w:pPr>
              <w:rPr>
                <w:b/>
                <w:bCs/>
              </w:rPr>
            </w:pPr>
            <w:r>
              <w:rPr>
                <w:b/>
                <w:bCs/>
              </w:rPr>
              <w:t xml:space="preserve">Outcome 2 </w:t>
            </w:r>
            <w:r w:rsidRPr="00B43A04">
              <w:t>Local land conflict resolution mechanisms are effectively resolving land conflicts in Nyanza Lac</w:t>
            </w:r>
            <w:r>
              <w:t>.</w:t>
            </w:r>
          </w:p>
        </w:tc>
      </w:tr>
      <w:tr w:rsidR="00DA3BBF" w14:paraId="6C69DC93" w14:textId="77777777" w:rsidTr="00DA3BBF">
        <w:tc>
          <w:tcPr>
            <w:tcW w:w="2972" w:type="dxa"/>
            <w:vMerge/>
          </w:tcPr>
          <w:p w14:paraId="7B2B18A2" w14:textId="77777777" w:rsidR="00DA3BBF" w:rsidRPr="00B43A04" w:rsidRDefault="00DA3BBF" w:rsidP="00DA3BBF">
            <w:pPr>
              <w:rPr>
                <w:b/>
                <w:bCs/>
              </w:rPr>
            </w:pPr>
          </w:p>
        </w:tc>
        <w:tc>
          <w:tcPr>
            <w:tcW w:w="6378" w:type="dxa"/>
          </w:tcPr>
          <w:p w14:paraId="3F5CF683" w14:textId="77777777" w:rsidR="00DA3BBF" w:rsidRPr="00C0482F" w:rsidRDefault="00DA3BBF" w:rsidP="00DA3BBF">
            <w:pPr>
              <w:rPr>
                <w:b/>
                <w:bCs/>
              </w:rPr>
            </w:pPr>
            <w:r>
              <w:rPr>
                <w:b/>
                <w:bCs/>
              </w:rPr>
              <w:t xml:space="preserve">Outcome 3 </w:t>
            </w:r>
            <w:r w:rsidRPr="00B43A04">
              <w:t>The development of a business case will result in the rollout of financially sustainable and technically functional SFCs around the country.</w:t>
            </w:r>
          </w:p>
        </w:tc>
      </w:tr>
      <w:tr w:rsidR="00DA3BBF" w14:paraId="0E4B9345" w14:textId="77777777" w:rsidTr="00DA3BBF">
        <w:tc>
          <w:tcPr>
            <w:tcW w:w="2972" w:type="dxa"/>
            <w:vMerge/>
          </w:tcPr>
          <w:p w14:paraId="343FDD34" w14:textId="77777777" w:rsidR="00DA3BBF" w:rsidRPr="00B43A04" w:rsidRDefault="00DA3BBF" w:rsidP="00DA3BBF">
            <w:pPr>
              <w:rPr>
                <w:b/>
                <w:bCs/>
              </w:rPr>
            </w:pPr>
          </w:p>
        </w:tc>
        <w:tc>
          <w:tcPr>
            <w:tcW w:w="6378" w:type="dxa"/>
          </w:tcPr>
          <w:p w14:paraId="1115D9A7" w14:textId="77777777" w:rsidR="00DA3BBF" w:rsidRDefault="00DA3BBF" w:rsidP="00DA3BBF">
            <w:r w:rsidRPr="00B43A04">
              <w:rPr>
                <w:b/>
                <w:bCs/>
              </w:rPr>
              <w:t>Outcome 4</w:t>
            </w:r>
            <w:r>
              <w:rPr>
                <w:b/>
                <w:bCs/>
              </w:rPr>
              <w:t xml:space="preserve"> </w:t>
            </w:r>
            <w:r w:rsidRPr="00B43A04">
              <w:t>Enhanced cooperation on land governance between (inter)national NGOs, CSOs and knowledge  institutes as well as with governmental organizations</w:t>
            </w:r>
            <w:r>
              <w:t>.</w:t>
            </w:r>
          </w:p>
        </w:tc>
      </w:tr>
      <w:tr w:rsidR="00DA3BBF" w14:paraId="548D061D" w14:textId="77777777" w:rsidTr="00DA3BBF">
        <w:tc>
          <w:tcPr>
            <w:tcW w:w="2972" w:type="dxa"/>
          </w:tcPr>
          <w:p w14:paraId="045D6901" w14:textId="77777777" w:rsidR="00DA3BBF" w:rsidRPr="00B43A04" w:rsidRDefault="00DA3BBF" w:rsidP="00DA3BBF">
            <w:pPr>
              <w:rPr>
                <w:b/>
                <w:bCs/>
              </w:rPr>
            </w:pPr>
            <w:r>
              <w:rPr>
                <w:b/>
                <w:bCs/>
              </w:rPr>
              <w:t>Consortium members</w:t>
            </w:r>
          </w:p>
        </w:tc>
        <w:tc>
          <w:tcPr>
            <w:tcW w:w="6378" w:type="dxa"/>
          </w:tcPr>
          <w:p w14:paraId="0E9201EA" w14:textId="77777777" w:rsidR="00DA3BBF" w:rsidRDefault="00DA3BBF" w:rsidP="00DA3BBF">
            <w:r>
              <w:t xml:space="preserve">ZOA (lead) </w:t>
            </w:r>
          </w:p>
          <w:p w14:paraId="12602A7A" w14:textId="77777777" w:rsidR="00DA3BBF" w:rsidRDefault="00DA3BBF" w:rsidP="00DA3BBF">
            <w:r>
              <w:t>MIPAREC</w:t>
            </w:r>
          </w:p>
          <w:p w14:paraId="0E4A5434" w14:textId="77777777" w:rsidR="00DA3BBF" w:rsidRDefault="00DA3BBF" w:rsidP="00DA3BBF">
            <w:r>
              <w:t>VNG International</w:t>
            </w:r>
          </w:p>
        </w:tc>
      </w:tr>
      <w:tr w:rsidR="00DA3BBF" w14:paraId="79912009" w14:textId="77777777" w:rsidTr="00DA3BBF">
        <w:tc>
          <w:tcPr>
            <w:tcW w:w="2972" w:type="dxa"/>
          </w:tcPr>
          <w:p w14:paraId="41305B5B" w14:textId="77777777" w:rsidR="00DA3BBF" w:rsidRPr="00B43A04" w:rsidRDefault="00DA3BBF" w:rsidP="00DA3BBF">
            <w:pPr>
              <w:rPr>
                <w:b/>
                <w:bCs/>
              </w:rPr>
            </w:pPr>
            <w:r>
              <w:rPr>
                <w:b/>
                <w:bCs/>
              </w:rPr>
              <w:t>Baseline study timing</w:t>
            </w:r>
          </w:p>
        </w:tc>
        <w:tc>
          <w:tcPr>
            <w:tcW w:w="6378" w:type="dxa"/>
          </w:tcPr>
          <w:p w14:paraId="772D7D35" w14:textId="7E9F1263" w:rsidR="00DA3BBF" w:rsidRDefault="00EC166C" w:rsidP="00DA3BBF">
            <w:r>
              <w:t>April</w:t>
            </w:r>
            <w:r w:rsidR="00DA3BBF">
              <w:t xml:space="preserve"> 2022</w:t>
            </w:r>
          </w:p>
          <w:p w14:paraId="27296194" w14:textId="0AB1B775" w:rsidR="00DA3BBF" w:rsidRDefault="00FC5BA2" w:rsidP="00DA3BBF">
            <w:r>
              <w:t>Submission of baseline report</w:t>
            </w:r>
            <w:r w:rsidR="00DA3BBF">
              <w:t>: 1-</w:t>
            </w:r>
            <w:r w:rsidR="00EC166C">
              <w:t>6</w:t>
            </w:r>
            <w:r w:rsidR="00DA3BBF">
              <w:t>-2022</w:t>
            </w:r>
          </w:p>
        </w:tc>
      </w:tr>
      <w:tr w:rsidR="00DA3BBF" w:rsidRPr="00260D3C" w14:paraId="28FB0EBF" w14:textId="77777777" w:rsidTr="00DA3BBF">
        <w:tc>
          <w:tcPr>
            <w:tcW w:w="2972" w:type="dxa"/>
          </w:tcPr>
          <w:p w14:paraId="4F86FF17" w14:textId="77777777" w:rsidR="00DA3BBF" w:rsidRDefault="00DA3BBF" w:rsidP="00DA3BBF">
            <w:pPr>
              <w:rPr>
                <w:b/>
                <w:bCs/>
              </w:rPr>
            </w:pPr>
            <w:r>
              <w:rPr>
                <w:b/>
                <w:bCs/>
              </w:rPr>
              <w:t>Baseline study methodology</w:t>
            </w:r>
          </w:p>
        </w:tc>
        <w:tc>
          <w:tcPr>
            <w:tcW w:w="6378" w:type="dxa"/>
          </w:tcPr>
          <w:p w14:paraId="08F4FF15" w14:textId="77777777" w:rsidR="00DA3BBF" w:rsidRPr="00D0482E" w:rsidRDefault="00DA3BBF" w:rsidP="00DA3BBF">
            <w:bookmarkStart w:id="0" w:name="_Hlk91149112"/>
            <w:r w:rsidRPr="00D0482E">
              <w:t>Quantitative survey in Nyanza Lac District.</w:t>
            </w:r>
          </w:p>
          <w:p w14:paraId="39EA876B" w14:textId="77777777" w:rsidR="00DA3BBF" w:rsidRDefault="00DA3BBF" w:rsidP="00DA3BBF">
            <w:r w:rsidRPr="00260D3C">
              <w:t xml:space="preserve">Qualitative focus group discussions </w:t>
            </w:r>
            <w:r>
              <w:t>in Nyanza Lac District.</w:t>
            </w:r>
          </w:p>
          <w:p w14:paraId="7559F5F3" w14:textId="77777777" w:rsidR="00DA3BBF" w:rsidRDefault="00DA3BBF" w:rsidP="00DA3BBF">
            <w:r>
              <w:t>Qualitative interviews with key stakeholders.</w:t>
            </w:r>
          </w:p>
          <w:p w14:paraId="173D6291" w14:textId="77777777" w:rsidR="00DA3BBF" w:rsidRPr="00260D3C" w:rsidRDefault="00DA3BBF" w:rsidP="00DA3BBF">
            <w:r>
              <w:t xml:space="preserve">Desk study of relevant documents and secondary data. </w:t>
            </w:r>
            <w:bookmarkEnd w:id="0"/>
          </w:p>
        </w:tc>
      </w:tr>
    </w:tbl>
    <w:p w14:paraId="0C8044D5" w14:textId="3901943A" w:rsidR="00512B40" w:rsidRDefault="001B733B" w:rsidP="00963B1D">
      <w:pPr>
        <w:pStyle w:val="NoSpacing"/>
        <w:jc w:val="both"/>
      </w:pPr>
      <w:proofErr w:type="spellStart"/>
      <w:r>
        <w:t>Amahoro</w:t>
      </w:r>
      <w:proofErr w:type="spellEnd"/>
      <w:r>
        <w:t xml:space="preserve"> @ Scale (Peace-at- Scale) is the Burundi country project </w:t>
      </w:r>
      <w:r w:rsidR="004F7D86">
        <w:t xml:space="preserve">of the larger </w:t>
      </w:r>
      <w:r w:rsidR="00B4215F">
        <w:t>“L</w:t>
      </w:r>
      <w:r w:rsidR="006D464D">
        <w:t>AND</w:t>
      </w:r>
      <w:r w:rsidR="00762AF7">
        <w:t xml:space="preserve"> </w:t>
      </w:r>
      <w:r w:rsidR="006D464D">
        <w:t xml:space="preserve">-at- </w:t>
      </w:r>
      <w:r w:rsidR="00B4215F">
        <w:t>Scale” program</w:t>
      </w:r>
      <w:r w:rsidR="00FF2D41">
        <w:t xml:space="preserve"> </w:t>
      </w:r>
      <w:r w:rsidR="00963B1D">
        <w:t xml:space="preserve">funded by RVO (The Netherlands Enterprise Agency) </w:t>
      </w:r>
      <w:r w:rsidR="00FF2D41">
        <w:t xml:space="preserve">which is currently active in 14 countries in Africa, Latin America, </w:t>
      </w:r>
      <w:r w:rsidR="00762AF7">
        <w:t>the Middle East and Asia.</w:t>
      </w:r>
    </w:p>
    <w:p w14:paraId="79375DE5" w14:textId="1693A5E4" w:rsidR="00512B40" w:rsidRDefault="00DA3BBF" w:rsidP="00512B40">
      <w:pPr>
        <w:pStyle w:val="NoSpacing"/>
        <w:jc w:val="both"/>
      </w:pPr>
      <w:r>
        <w:t xml:space="preserve"> </w:t>
      </w:r>
      <w:r w:rsidR="00512B40">
        <w:t>“</w:t>
      </w:r>
      <w:r w:rsidR="00512B40" w:rsidRPr="00963B1D">
        <w:rPr>
          <w:i/>
          <w:iCs/>
        </w:rPr>
        <w:t>LAND-at-scale is a land governance support program for developing countries. A large part of the world’s population depends on having secure access to land for their incomes. LAND-at-scale aims to contribute to fair and just tenure security, access to land and natural resources for all. This will lead to more sustainable and efficient use of land and natural resources for food, housing and production. It will also reduce conflicts and competing claims over land</w:t>
      </w:r>
      <w:r w:rsidR="00512B40">
        <w:t>” (</w:t>
      </w:r>
      <w:hyperlink r:id="rId8" w:history="1">
        <w:r w:rsidR="00512B40" w:rsidRPr="00174D30">
          <w:rPr>
            <w:rStyle w:val="Hyperlink"/>
          </w:rPr>
          <w:t>https://english.rvo.nl/subsidies-programmes/land-at-scale</w:t>
        </w:r>
      </w:hyperlink>
      <w:r w:rsidR="00512B40">
        <w:t>).</w:t>
      </w:r>
    </w:p>
    <w:p w14:paraId="5C1A21A9" w14:textId="77777777" w:rsidR="00512B40" w:rsidRDefault="00512B40" w:rsidP="00512B40">
      <w:pPr>
        <w:pStyle w:val="NoSpacing"/>
        <w:jc w:val="both"/>
      </w:pPr>
    </w:p>
    <w:p w14:paraId="718A39D1" w14:textId="77777777" w:rsidR="00512B40" w:rsidRPr="00D84CCB" w:rsidRDefault="00512B40" w:rsidP="00512B40">
      <w:pPr>
        <w:pStyle w:val="Heading2"/>
        <w:numPr>
          <w:ilvl w:val="1"/>
          <w:numId w:val="3"/>
        </w:numPr>
        <w:rPr>
          <w:i/>
          <w:iCs/>
          <w:color w:val="auto"/>
        </w:rPr>
      </w:pPr>
      <w:r w:rsidRPr="00D84CCB">
        <w:rPr>
          <w:i/>
          <w:iCs/>
          <w:color w:val="auto"/>
        </w:rPr>
        <w:t>Project summary</w:t>
      </w:r>
    </w:p>
    <w:p w14:paraId="784C53EE" w14:textId="7C6824F3" w:rsidR="00A31A5A" w:rsidRPr="00DA3BBF" w:rsidRDefault="00512B40" w:rsidP="00A4744D">
      <w:pPr>
        <w:jc w:val="both"/>
        <w:rPr>
          <w:u w:val="single"/>
        </w:rPr>
      </w:pPr>
      <w:r w:rsidRPr="00A31A5A">
        <w:rPr>
          <w:u w:val="single"/>
        </w:rPr>
        <w:t xml:space="preserve">Project summary table: </w:t>
      </w:r>
    </w:p>
    <w:p w14:paraId="5474F9FE" w14:textId="6BB5C0CC" w:rsidR="00A31A5A" w:rsidRDefault="0049585D" w:rsidP="00A4744D">
      <w:pPr>
        <w:jc w:val="both"/>
        <w:rPr>
          <w:rFonts w:eastAsia="Calibri" w:cs="Arial"/>
        </w:rPr>
      </w:pPr>
      <w:proofErr w:type="spellStart"/>
      <w:r>
        <w:lastRenderedPageBreak/>
        <w:t>Amahoro</w:t>
      </w:r>
      <w:proofErr w:type="spellEnd"/>
      <w:r>
        <w:t xml:space="preserve"> @ Scale </w:t>
      </w:r>
      <w:r w:rsidR="00A4744D" w:rsidRPr="3702B7C1">
        <w:rPr>
          <w:rFonts w:eastAsia="Calibri" w:cs="Arial"/>
        </w:rPr>
        <w:t xml:space="preserve">has two distinct </w:t>
      </w:r>
      <w:r w:rsidR="00D30460">
        <w:rPr>
          <w:rFonts w:eastAsia="Calibri" w:cs="Arial"/>
        </w:rPr>
        <w:t>aims</w:t>
      </w:r>
      <w:r w:rsidR="00A4744D" w:rsidRPr="3702B7C1">
        <w:rPr>
          <w:rFonts w:eastAsia="Calibri" w:cs="Arial"/>
        </w:rPr>
        <w:t xml:space="preserve">. The first </w:t>
      </w:r>
      <w:r w:rsidR="00D30460">
        <w:rPr>
          <w:rFonts w:eastAsia="Calibri" w:cs="Arial"/>
        </w:rPr>
        <w:t>aim</w:t>
      </w:r>
      <w:r w:rsidR="00A4744D" w:rsidRPr="3702B7C1">
        <w:rPr>
          <w:rFonts w:eastAsia="Calibri" w:cs="Arial"/>
        </w:rPr>
        <w:t xml:space="preserve"> is to use the experience of current and previous Land Tenure Registration (LTR) activities</w:t>
      </w:r>
      <w:r w:rsidR="00C927FE">
        <w:rPr>
          <w:rStyle w:val="FootnoteReference"/>
          <w:rFonts w:eastAsia="Calibri" w:cs="Arial"/>
        </w:rPr>
        <w:footnoteReference w:id="1"/>
      </w:r>
      <w:r w:rsidR="00A4744D" w:rsidRPr="3702B7C1">
        <w:rPr>
          <w:rFonts w:eastAsia="Calibri" w:cs="Arial"/>
        </w:rPr>
        <w:t xml:space="preserve"> in Burundi to prepare the scaling up of LTR across </w:t>
      </w:r>
      <w:r w:rsidR="0016450D">
        <w:rPr>
          <w:rFonts w:eastAsia="Calibri" w:cs="Arial"/>
        </w:rPr>
        <w:t>Burundi</w:t>
      </w:r>
      <w:r w:rsidR="00A4744D" w:rsidRPr="3702B7C1">
        <w:rPr>
          <w:rFonts w:eastAsia="Calibri" w:cs="Arial"/>
        </w:rPr>
        <w:t xml:space="preserve">. This requires cost-efficient, conflict sensitive and effective processes to be defined and agreed upon by all relevant stakeholders. In essence, a business model for LTR needs to be developed that takes into account the lessons from other </w:t>
      </w:r>
      <w:r w:rsidR="001B5CBF">
        <w:rPr>
          <w:rFonts w:eastAsia="Calibri" w:cs="Arial"/>
        </w:rPr>
        <w:t>districts</w:t>
      </w:r>
      <w:r w:rsidR="00A4744D" w:rsidRPr="3702B7C1">
        <w:rPr>
          <w:rFonts w:eastAsia="Calibri" w:cs="Arial"/>
        </w:rPr>
        <w:t xml:space="preserve"> and to the national legal framework and international standards for LTR. Sustainable LTR needs to facilitate the resolution of land related conflicts that are rooted in, among other things, divergences between statutory and customary land governance, migration and return as well as the discrimination of particular groups and gender discrimination. A second, practical aim of the </w:t>
      </w:r>
      <w:r w:rsidR="00391D0F">
        <w:rPr>
          <w:rFonts w:eastAsia="Calibri" w:cs="Arial"/>
        </w:rPr>
        <w:t>project</w:t>
      </w:r>
      <w:r w:rsidR="00A4744D" w:rsidRPr="3702B7C1">
        <w:rPr>
          <w:rFonts w:eastAsia="Calibri" w:cs="Arial"/>
        </w:rPr>
        <w:t xml:space="preserve"> is to finalize LTR in Makamba province. This is a crucial step in preparing the scaling up of LTR. It provides an opportunity to find solutions to remaining challenges, e.g. related to the financing of the Communal Land Services</w:t>
      </w:r>
      <w:r w:rsidR="00391D0F">
        <w:rPr>
          <w:rFonts w:eastAsia="Calibri" w:cs="Arial"/>
        </w:rPr>
        <w:t xml:space="preserve"> (SFC)</w:t>
      </w:r>
      <w:r w:rsidR="00A4744D" w:rsidRPr="3702B7C1">
        <w:rPr>
          <w:rFonts w:eastAsia="Calibri" w:cs="Arial"/>
        </w:rPr>
        <w:t xml:space="preserve">. </w:t>
      </w:r>
      <w:r w:rsidR="00725B87">
        <w:rPr>
          <w:rFonts w:eastAsia="Calibri" w:cs="Arial"/>
        </w:rPr>
        <w:t>As ZOA, in partnership with MIPAREC, has already</w:t>
      </w:r>
      <w:r w:rsidR="00FE1AAC">
        <w:rPr>
          <w:rFonts w:eastAsia="Calibri" w:cs="Arial"/>
        </w:rPr>
        <w:t xml:space="preserve"> covered five of the six </w:t>
      </w:r>
      <w:r w:rsidR="0079721A">
        <w:rPr>
          <w:rFonts w:eastAsia="Calibri" w:cs="Arial"/>
        </w:rPr>
        <w:t>district</w:t>
      </w:r>
      <w:r w:rsidR="00FE1AAC">
        <w:rPr>
          <w:rFonts w:eastAsia="Calibri" w:cs="Arial"/>
        </w:rPr>
        <w:t>s with support to the SFCs to conduct the OGR approach</w:t>
      </w:r>
      <w:r w:rsidR="00703663">
        <w:rPr>
          <w:rFonts w:eastAsia="Calibri" w:cs="Arial"/>
        </w:rPr>
        <w:t xml:space="preserve">, now the last </w:t>
      </w:r>
      <w:r w:rsidR="0079721A">
        <w:rPr>
          <w:rFonts w:eastAsia="Calibri" w:cs="Arial"/>
        </w:rPr>
        <w:t>district</w:t>
      </w:r>
      <w:r w:rsidR="00703663">
        <w:rPr>
          <w:rFonts w:eastAsia="Calibri" w:cs="Arial"/>
        </w:rPr>
        <w:t xml:space="preserve"> </w:t>
      </w:r>
      <w:r w:rsidR="001E27AA">
        <w:rPr>
          <w:rFonts w:eastAsia="Calibri" w:cs="Arial"/>
        </w:rPr>
        <w:t xml:space="preserve">of Makamba province </w:t>
      </w:r>
      <w:r w:rsidR="00703663">
        <w:rPr>
          <w:rFonts w:eastAsia="Calibri" w:cs="Arial"/>
        </w:rPr>
        <w:t>(Nyanza Lac)</w:t>
      </w:r>
      <w:r w:rsidR="001E27AA">
        <w:rPr>
          <w:rFonts w:eastAsia="Calibri" w:cs="Arial"/>
        </w:rPr>
        <w:t xml:space="preserve"> will </w:t>
      </w:r>
      <w:r w:rsidR="00DA355B">
        <w:rPr>
          <w:rFonts w:eastAsia="Calibri" w:cs="Arial"/>
        </w:rPr>
        <w:t xml:space="preserve">be supported in </w:t>
      </w:r>
      <w:proofErr w:type="spellStart"/>
      <w:r w:rsidR="00DA355B">
        <w:rPr>
          <w:rFonts w:eastAsia="Calibri" w:cs="Arial"/>
        </w:rPr>
        <w:t>Amahoro</w:t>
      </w:r>
      <w:proofErr w:type="spellEnd"/>
      <w:r w:rsidR="00DA355B">
        <w:rPr>
          <w:rFonts w:eastAsia="Calibri" w:cs="Arial"/>
        </w:rPr>
        <w:t xml:space="preserve">-at-Scale. Nyanza Lac is </w:t>
      </w:r>
      <w:r w:rsidR="00F6733F">
        <w:rPr>
          <w:rFonts w:eastAsia="Calibri" w:cs="Arial"/>
        </w:rPr>
        <w:t xml:space="preserve">not only the last, but also the most complex </w:t>
      </w:r>
      <w:r w:rsidR="0079721A">
        <w:rPr>
          <w:rFonts w:eastAsia="Calibri" w:cs="Arial"/>
        </w:rPr>
        <w:t>district</w:t>
      </w:r>
      <w:r w:rsidR="00F6733F">
        <w:rPr>
          <w:rFonts w:eastAsia="Calibri" w:cs="Arial"/>
        </w:rPr>
        <w:t xml:space="preserve"> in terms of conflict</w:t>
      </w:r>
      <w:r w:rsidR="00C927FE">
        <w:rPr>
          <w:rFonts w:eastAsia="Calibri" w:cs="Arial"/>
        </w:rPr>
        <w:t xml:space="preserve"> numbers and severity in combination with the population density. </w:t>
      </w:r>
      <w:r w:rsidR="001E27AA">
        <w:rPr>
          <w:rFonts w:eastAsia="Calibri" w:cs="Arial"/>
        </w:rPr>
        <w:t xml:space="preserve"> </w:t>
      </w:r>
      <w:r w:rsidR="00C927FE">
        <w:rPr>
          <w:rFonts w:eastAsia="Calibri" w:cs="Arial"/>
        </w:rPr>
        <w:t xml:space="preserve">At the end of </w:t>
      </w:r>
      <w:proofErr w:type="spellStart"/>
      <w:r w:rsidR="00C927FE">
        <w:rPr>
          <w:rFonts w:eastAsia="Calibri" w:cs="Arial"/>
        </w:rPr>
        <w:t>Amahoro</w:t>
      </w:r>
      <w:proofErr w:type="spellEnd"/>
      <w:r w:rsidR="00C927FE">
        <w:rPr>
          <w:rFonts w:eastAsia="Calibri" w:cs="Arial"/>
        </w:rPr>
        <w:t>-at-Scale, t</w:t>
      </w:r>
      <w:r w:rsidR="00A4744D" w:rsidRPr="3702B7C1">
        <w:rPr>
          <w:rFonts w:eastAsia="Calibri" w:cs="Arial"/>
        </w:rPr>
        <w:t xml:space="preserve">he fully covered province will serve as a </w:t>
      </w:r>
      <w:r w:rsidR="00A4744D" w:rsidRPr="000F5F8D">
        <w:rPr>
          <w:rFonts w:eastAsia="Calibri" w:cs="Arial"/>
          <w:i/>
        </w:rPr>
        <w:t xml:space="preserve">proof of concept </w:t>
      </w:r>
      <w:r w:rsidR="00A4744D" w:rsidRPr="000F5F8D">
        <w:rPr>
          <w:rFonts w:eastAsia="Calibri" w:cs="Arial"/>
        </w:rPr>
        <w:t xml:space="preserve">for the </w:t>
      </w:r>
      <w:r w:rsidR="00A4744D" w:rsidRPr="3702B7C1">
        <w:rPr>
          <w:rFonts w:eastAsia="Calibri" w:cs="Arial"/>
        </w:rPr>
        <w:t>LTR process. Successfully conducting LTR in Nyanza Lac will also show that LTR is possible in very complex contexts</w:t>
      </w:r>
      <w:r w:rsidR="00E106B9">
        <w:rPr>
          <w:rFonts w:eastAsia="Calibri" w:cs="Arial"/>
        </w:rPr>
        <w:t>.</w:t>
      </w:r>
    </w:p>
    <w:p w14:paraId="7A25A3F4" w14:textId="79D6FAA0" w:rsidR="00B0640E" w:rsidRPr="000374C4" w:rsidRDefault="00B0640E" w:rsidP="00A4744D">
      <w:pPr>
        <w:jc w:val="both"/>
        <w:rPr>
          <w:rFonts w:eastAsia="Calibri" w:cs="Arial"/>
        </w:rPr>
      </w:pPr>
      <w:r w:rsidRPr="000374C4">
        <w:rPr>
          <w:rFonts w:eastAsia="Calibri" w:cs="Arial"/>
        </w:rPr>
        <w:t xml:space="preserve">The project is </w:t>
      </w:r>
      <w:r w:rsidR="00721725" w:rsidRPr="000374C4">
        <w:rPr>
          <w:rFonts w:eastAsia="Calibri" w:cs="Arial"/>
        </w:rPr>
        <w:t xml:space="preserve">divided in three pathways: </w:t>
      </w:r>
    </w:p>
    <w:p w14:paraId="54D81A5D" w14:textId="77777777" w:rsidR="00C755F7" w:rsidRPr="00FE32A6" w:rsidRDefault="00C755F7" w:rsidP="00C755F7">
      <w:pPr>
        <w:pStyle w:val="NoSpacing"/>
        <w:spacing w:before="240" w:line="276" w:lineRule="auto"/>
        <w:jc w:val="both"/>
        <w:rPr>
          <w:rFonts w:eastAsiaTheme="minorEastAsia" w:cs="Arial"/>
        </w:rPr>
      </w:pPr>
      <w:r w:rsidRPr="00FE32A6">
        <w:rPr>
          <w:rFonts w:eastAsiaTheme="minorEastAsia" w:cs="Arial"/>
          <w:b/>
          <w:bCs/>
        </w:rPr>
        <w:t>Pathway 1 relates to Land administration</w:t>
      </w:r>
      <w:r w:rsidRPr="00FE32A6">
        <w:rPr>
          <w:rFonts w:eastAsiaTheme="minorEastAsia" w:cs="Arial"/>
        </w:rPr>
        <w:t xml:space="preserve">, which is embodied in Outcomes 1 and 3 and relating outputs. Land administration in this case refers to the process and results of documenting land use and ownership, registering land, storing and managing land related data and using this data for land management (e.g. spatial planning).  This part of the program will build on the previous work of ZOA and will be under the main oversight of ZOA. Capacity strengthening of local government authorities is one central element for functional land administration. This aspect is supported by VNG International under output 1.2 on good governance. ZOA and VNG International will coordinate closely to ensure that good governance trainings target core needs of the authorities and population. Demand for service delivery and awareness of good land administration practices and standards are further crucial factors under Outcome 1 and addressed through the awareness raising activities under output 1.3. Outputs 1.4 and 1.5 are key to good land administration services. </w:t>
      </w:r>
    </w:p>
    <w:p w14:paraId="01784093" w14:textId="7555811E" w:rsidR="00C755F7" w:rsidRDefault="00C755F7" w:rsidP="00C755F7">
      <w:pPr>
        <w:pStyle w:val="NoSpacing"/>
        <w:spacing w:before="240" w:line="276" w:lineRule="auto"/>
        <w:jc w:val="both"/>
        <w:rPr>
          <w:rFonts w:eastAsiaTheme="minorEastAsia" w:cs="Arial"/>
        </w:rPr>
      </w:pPr>
      <w:r w:rsidRPr="00FE32A6">
        <w:rPr>
          <w:rFonts w:eastAsiaTheme="minorEastAsia" w:cs="Arial"/>
        </w:rPr>
        <w:t>Outcome 3 will be worked on in parallel to the land administration activities and build on these practical experiences to develop a blueprint for land administration with a focus on the viability of local land services. A financial business case is a key requirement to put this into practice. Based on such a blueprint, a roadmap for implementation on scale will be developed. While VNG International is leading these efforts, close coordination with ZOA and an additional technical partner will be ensured to make sure the business case and rollout plan are rooted in practice and reflect the lessons from the land administration work. This requires broad stakeholder engagement.</w:t>
      </w:r>
    </w:p>
    <w:p w14:paraId="10BE5B40" w14:textId="77777777" w:rsidR="0066319F" w:rsidRPr="00FE32A6" w:rsidRDefault="0066319F" w:rsidP="0066319F">
      <w:pPr>
        <w:pStyle w:val="NoSpacing"/>
        <w:spacing w:before="240" w:line="276" w:lineRule="auto"/>
        <w:jc w:val="both"/>
        <w:rPr>
          <w:rFonts w:eastAsiaTheme="minorEastAsia" w:cs="Arial"/>
        </w:rPr>
      </w:pPr>
      <w:r w:rsidRPr="00FE32A6">
        <w:rPr>
          <w:rFonts w:eastAsiaTheme="minorEastAsia" w:cs="Arial"/>
          <w:b/>
          <w:bCs/>
        </w:rPr>
        <w:t>Pathway 2 relates to conflict resolution and peacebuilding</w:t>
      </w:r>
      <w:r w:rsidRPr="00FE32A6">
        <w:rPr>
          <w:rFonts w:eastAsiaTheme="minorEastAsia" w:cs="Arial"/>
        </w:rPr>
        <w:t xml:space="preserve">. It is the heart of working in Burundi on a conflict sensitive issue in a responsible way. ZOA and Mi-PAREC are leading this work that is implemented </w:t>
      </w:r>
      <w:r w:rsidRPr="00FE32A6">
        <w:rPr>
          <w:rFonts w:eastAsiaTheme="minorEastAsia" w:cs="Arial"/>
        </w:rPr>
        <w:lastRenderedPageBreak/>
        <w:t>through the activities under Outcome 2. The crucial first step here is to resolve land related conflicts through alternative dispute resolution mechanisms. This is enabled by strengthening the capacities of conflict resolution actors and increasing their effectiveness and legitimacy. The effectiveness and legitimacy of these actors also depends on their relationship to formal justice institutions, which is addressed under output 2.2. The lessons from this work will also inform the activities under Outcome 3.</w:t>
      </w:r>
    </w:p>
    <w:p w14:paraId="71BF66FC" w14:textId="77777777" w:rsidR="0066319F" w:rsidRPr="00FE32A6" w:rsidRDefault="0066319F" w:rsidP="0066319F">
      <w:pPr>
        <w:pStyle w:val="NoSpacing"/>
        <w:spacing w:before="240" w:line="276" w:lineRule="auto"/>
        <w:jc w:val="both"/>
        <w:rPr>
          <w:rFonts w:eastAsiaTheme="minorEastAsia" w:cs="Arial"/>
        </w:rPr>
      </w:pPr>
      <w:r w:rsidRPr="00FE32A6">
        <w:rPr>
          <w:rFonts w:eastAsiaTheme="minorEastAsia" w:cs="Arial"/>
          <w:b/>
          <w:bCs/>
        </w:rPr>
        <w:t>Pathway 3 is targeting land governance</w:t>
      </w:r>
      <w:r w:rsidRPr="00FE32A6">
        <w:rPr>
          <w:rFonts w:eastAsiaTheme="minorEastAsia" w:cs="Arial"/>
        </w:rPr>
        <w:t xml:space="preserve">, which encompasses the rules, processes and structures through which decisions are made about access to land and its use, the way the decisions are implemented and enforced, the way that competing interests in land are managed and the formal and informal actors involved in these processes. While the </w:t>
      </w:r>
      <w:proofErr w:type="spellStart"/>
      <w:r w:rsidRPr="00FE32A6">
        <w:rPr>
          <w:rFonts w:eastAsiaTheme="minorEastAsia" w:cs="Arial"/>
        </w:rPr>
        <w:t>Amahoro@Scale</w:t>
      </w:r>
      <w:proofErr w:type="spellEnd"/>
      <w:r w:rsidRPr="00FE32A6">
        <w:rPr>
          <w:rFonts w:eastAsiaTheme="minorEastAsia" w:cs="Arial"/>
        </w:rPr>
        <w:t xml:space="preserve"> program cannot target all of this at once, it aims at strategically supporting the creation of an enabling institutional environment and creating greater space for discussion of central land issues based on the needs identified under Pathways 1 and 2 and a targeted setting up and strengthening of relevant networks of actors. While VNG International is leading the outputs under this pathway, lessons from all activities under pathways 1 and 2 are feeding directly into this pathway which is formulated under Outcome 4. </w:t>
      </w:r>
    </w:p>
    <w:p w14:paraId="56DECF5A" w14:textId="5C2B3301" w:rsidR="0066319F" w:rsidRDefault="0066319F" w:rsidP="0066319F">
      <w:pPr>
        <w:pStyle w:val="NoSpacing"/>
        <w:spacing w:before="240" w:line="276" w:lineRule="auto"/>
        <w:jc w:val="both"/>
        <w:rPr>
          <w:rFonts w:eastAsiaTheme="minorEastAsia" w:cs="Arial"/>
        </w:rPr>
      </w:pPr>
      <w:r w:rsidRPr="00FE32A6">
        <w:rPr>
          <w:rFonts w:eastAsiaTheme="minorEastAsia" w:cs="Arial"/>
        </w:rPr>
        <w:t>The outputs under Outcome 4 support the work done under Outcomes 1 - 3 as well as contribute to the sustainability of all Outcomes. Further aspects of the program such as the link to third party programs relating to access to justice will be defined during the inception phase. The inception phase will also entail ground building activities for the three pathways (e.g. contracting, scoping of technical partners and capacity needs).</w:t>
      </w:r>
    </w:p>
    <w:p w14:paraId="00508269" w14:textId="77777777" w:rsidR="0066319F" w:rsidRPr="00681ABB" w:rsidRDefault="0066319F" w:rsidP="00681ABB">
      <w:pPr>
        <w:pStyle w:val="NoSpacing"/>
      </w:pPr>
    </w:p>
    <w:p w14:paraId="344B7CC1" w14:textId="64901F0D" w:rsidR="00A4744D" w:rsidRPr="00D84CCB" w:rsidRDefault="00DE2E67" w:rsidP="00DE2E67">
      <w:pPr>
        <w:pStyle w:val="Heading2"/>
        <w:numPr>
          <w:ilvl w:val="1"/>
          <w:numId w:val="3"/>
        </w:numPr>
        <w:rPr>
          <w:i/>
          <w:iCs/>
          <w:color w:val="auto"/>
        </w:rPr>
      </w:pPr>
      <w:r w:rsidRPr="00D84CCB">
        <w:rPr>
          <w:i/>
          <w:iCs/>
          <w:color w:val="auto"/>
        </w:rPr>
        <w:t>Purpose</w:t>
      </w:r>
      <w:r w:rsidR="00512B40" w:rsidRPr="00D84CCB">
        <w:rPr>
          <w:i/>
          <w:iCs/>
          <w:color w:val="auto"/>
        </w:rPr>
        <w:t xml:space="preserve"> </w:t>
      </w:r>
      <w:r w:rsidRPr="00D84CCB">
        <w:rPr>
          <w:i/>
          <w:iCs/>
          <w:color w:val="auto"/>
        </w:rPr>
        <w:t>and timing of baseline study</w:t>
      </w:r>
    </w:p>
    <w:p w14:paraId="0750EBE3" w14:textId="42BC5519" w:rsidR="005F1DFB" w:rsidRDefault="00DE2E67" w:rsidP="00512B40">
      <w:pPr>
        <w:jc w:val="both"/>
      </w:pPr>
      <w:r>
        <w:t xml:space="preserve">The baseline study is an important element of the </w:t>
      </w:r>
      <w:r w:rsidR="004E245D">
        <w:t xml:space="preserve">6 months </w:t>
      </w:r>
      <w:r>
        <w:t xml:space="preserve">inception phase of the project </w:t>
      </w:r>
      <w:r w:rsidR="00CF4559">
        <w:t xml:space="preserve">which </w:t>
      </w:r>
      <w:r w:rsidR="008B2CC3">
        <w:t xml:space="preserve">serves </w:t>
      </w:r>
      <w:r w:rsidR="00CF4559" w:rsidRPr="3702B7C1">
        <w:rPr>
          <w:lang w:val="en-GB"/>
        </w:rPr>
        <w:t xml:space="preserve"> to generate the necessary knowledge to start the activities for outcomes 1 – 4</w:t>
      </w:r>
      <w:r w:rsidR="00CF4559">
        <w:rPr>
          <w:lang w:val="en-GB"/>
        </w:rPr>
        <w:t xml:space="preserve"> and to prepare for the implementation</w:t>
      </w:r>
      <w:r w:rsidR="007D0356">
        <w:t>.</w:t>
      </w:r>
      <w:r w:rsidR="00105919">
        <w:t xml:space="preserve"> The baseline study </w:t>
      </w:r>
      <w:r w:rsidR="005A5299">
        <w:t xml:space="preserve">has the purpose to </w:t>
      </w:r>
      <w:r w:rsidR="00B31B15">
        <w:t xml:space="preserve">generate the </w:t>
      </w:r>
      <w:r w:rsidR="00764FDC">
        <w:t>baseline data for the project’s indicators</w:t>
      </w:r>
      <w:r w:rsidR="00D05F0C">
        <w:t xml:space="preserve"> </w:t>
      </w:r>
      <w:r w:rsidR="002D3833">
        <w:t xml:space="preserve">which will serve as reference for the mid-term and final evaluation. The baseline study will further </w:t>
      </w:r>
      <w:r w:rsidR="00B07027">
        <w:t xml:space="preserve">help to set more realistic projects targets for the indicators. </w:t>
      </w:r>
      <w:r w:rsidR="00E21844" w:rsidRPr="00DE1AFF">
        <w:t xml:space="preserve">Conflict mapping and </w:t>
      </w:r>
      <w:r w:rsidR="007E76FB" w:rsidRPr="00DE1AFF">
        <w:t xml:space="preserve">a legal framework analysis </w:t>
      </w:r>
      <w:r w:rsidR="003957AA">
        <w:t>should be realized in the inception phase. The conflict mapping will preferably be conducted by MIPAREC, and the Legal Framework analysi</w:t>
      </w:r>
      <w:r w:rsidR="003B3CD7">
        <w:t>s</w:t>
      </w:r>
      <w:r w:rsidR="003957AA">
        <w:t xml:space="preserve"> will either be done by the consultant</w:t>
      </w:r>
      <w:r w:rsidR="008C2169">
        <w:t xml:space="preserve"> in collaboration with </w:t>
      </w:r>
      <w:proofErr w:type="spellStart"/>
      <w:r w:rsidR="008C2169">
        <w:t>VNGi</w:t>
      </w:r>
      <w:proofErr w:type="spellEnd"/>
      <w:r w:rsidR="003957AA">
        <w:t>.</w:t>
      </w:r>
      <w:r w:rsidR="00380C81">
        <w:t xml:space="preserve"> </w:t>
      </w:r>
      <w:r w:rsidR="00A83B1E">
        <w:t>The</w:t>
      </w:r>
      <w:r w:rsidR="0089202E">
        <w:t>se Terms of Reference</w:t>
      </w:r>
      <w:r w:rsidR="003641CE">
        <w:t xml:space="preserve"> are drafted with the purpose of recruiting consultant that will be responsible for carrying out the baseline study</w:t>
      </w:r>
      <w:r w:rsidR="00512B40">
        <w:t xml:space="preserve">. </w:t>
      </w:r>
    </w:p>
    <w:p w14:paraId="030DB146" w14:textId="55A6E4A9" w:rsidR="00380C81" w:rsidRDefault="00380C81" w:rsidP="0071431A">
      <w:pPr>
        <w:jc w:val="both"/>
      </w:pPr>
      <w:r>
        <w:t xml:space="preserve">The baseline study will held in the month of </w:t>
      </w:r>
      <w:r w:rsidR="00EC166C">
        <w:t>April</w:t>
      </w:r>
      <w:r>
        <w:t xml:space="preserve"> 2022. </w:t>
      </w:r>
    </w:p>
    <w:p w14:paraId="4E137BCD" w14:textId="05C5B662" w:rsidR="00512B40" w:rsidRPr="00E22ABC" w:rsidRDefault="00512B40" w:rsidP="00512B40">
      <w:pPr>
        <w:pStyle w:val="Heading2"/>
        <w:rPr>
          <w:i/>
          <w:iCs/>
        </w:rPr>
      </w:pPr>
      <w:r w:rsidRPr="00E22ABC">
        <w:rPr>
          <w:i/>
          <w:iCs/>
        </w:rPr>
        <w:t>1.3 Mandate of the consultant</w:t>
      </w:r>
    </w:p>
    <w:p w14:paraId="1EB12BE4" w14:textId="6A1B928B" w:rsidR="007F5666" w:rsidRDefault="00C4729A" w:rsidP="00594939">
      <w:pPr>
        <w:jc w:val="both"/>
      </w:pPr>
      <w:r w:rsidRPr="00C4729A">
        <w:t xml:space="preserve">The consultant will </w:t>
      </w:r>
      <w:r w:rsidR="00512151">
        <w:t>have the overall responsibility of the execution of the baseline study</w:t>
      </w:r>
      <w:r w:rsidR="003019F6">
        <w:t>. This includes</w:t>
      </w:r>
      <w:r w:rsidR="00512151">
        <w:t xml:space="preserve"> the sampling, the elaboration of the </w:t>
      </w:r>
      <w:r w:rsidR="00BC44C0">
        <w:t>tools for data collection, the organization of</w:t>
      </w:r>
      <w:r w:rsidR="00B76523">
        <w:t xml:space="preserve"> conducting the field work</w:t>
      </w:r>
      <w:r w:rsidR="00583B5C">
        <w:t xml:space="preserve"> including the recruitment and training of enumerators</w:t>
      </w:r>
      <w:r w:rsidR="00BC44C0">
        <w:t xml:space="preserve">, </w:t>
      </w:r>
      <w:r w:rsidR="00B76523">
        <w:t xml:space="preserve">the </w:t>
      </w:r>
      <w:r w:rsidR="00F70EEB">
        <w:t>data analysis</w:t>
      </w:r>
      <w:r w:rsidR="009654B8">
        <w:t xml:space="preserve">, the drafting and submission of the baseline study report. </w:t>
      </w:r>
      <w:r w:rsidR="007F5666">
        <w:t>The consultant will present the</w:t>
      </w:r>
      <w:r w:rsidR="00681ABB">
        <w:t xml:space="preserve"> preliminary</w:t>
      </w:r>
      <w:r w:rsidR="007F5666">
        <w:t xml:space="preserve"> results of the baseline in a </w:t>
      </w:r>
      <w:r w:rsidR="003957AA">
        <w:t>feedback</w:t>
      </w:r>
      <w:r w:rsidR="007F5666">
        <w:t xml:space="preserve"> meeting with the consortium members </w:t>
      </w:r>
      <w:r w:rsidR="00681ABB">
        <w:t xml:space="preserve">for validation </w:t>
      </w:r>
      <w:r w:rsidR="007F5666">
        <w:t xml:space="preserve">and </w:t>
      </w:r>
      <w:r w:rsidR="00C629ED">
        <w:t xml:space="preserve">on the National Conference </w:t>
      </w:r>
      <w:r w:rsidR="00EC166C">
        <w:t xml:space="preserve">as the closure of the inception phase </w:t>
      </w:r>
      <w:r w:rsidR="00C629ED">
        <w:t>(</w:t>
      </w:r>
      <w:r w:rsidR="00EC166C">
        <w:t>potentially at the beginning of June 2022</w:t>
      </w:r>
      <w:r w:rsidR="00C629ED">
        <w:t>)</w:t>
      </w:r>
      <w:r w:rsidR="00681ABB">
        <w:t xml:space="preserve"> with all relevant stakeholders of the land rights sector in Burundi. </w:t>
      </w:r>
    </w:p>
    <w:p w14:paraId="712D745A" w14:textId="1B7212EA" w:rsidR="003019F6" w:rsidRPr="00C4729A" w:rsidRDefault="002D4787" w:rsidP="00594939">
      <w:pPr>
        <w:jc w:val="both"/>
      </w:pPr>
      <w:r>
        <w:lastRenderedPageBreak/>
        <w:t>The consultant will work in close collaboration with the consortium members ZOA (lead), MIPAREC, and VNG International</w:t>
      </w:r>
      <w:r w:rsidR="00CF001C">
        <w:t>. An experienced land rights project field team is present on the ground in Makamba who can also assist in facilitating with practicalities</w:t>
      </w:r>
      <w:r w:rsidR="004710C2">
        <w:t xml:space="preserve"> during the baseline study.</w:t>
      </w:r>
      <w:r w:rsidR="00CF001C">
        <w:t xml:space="preserve"> </w:t>
      </w:r>
      <w:r w:rsidR="00156821">
        <w:t xml:space="preserve"> </w:t>
      </w:r>
    </w:p>
    <w:p w14:paraId="36226FF9" w14:textId="65DA5169" w:rsidR="00987E7E" w:rsidRPr="00733707" w:rsidRDefault="00AF1354" w:rsidP="00594939">
      <w:pPr>
        <w:pStyle w:val="Heading1"/>
        <w:numPr>
          <w:ilvl w:val="0"/>
          <w:numId w:val="2"/>
        </w:numPr>
        <w:jc w:val="both"/>
        <w:rPr>
          <w:b/>
          <w:bCs/>
          <w:color w:val="auto"/>
        </w:rPr>
      </w:pPr>
      <w:r w:rsidRPr="00733707">
        <w:rPr>
          <w:b/>
          <w:bCs/>
          <w:color w:val="auto"/>
        </w:rPr>
        <w:t xml:space="preserve">Outcomes, </w:t>
      </w:r>
      <w:r w:rsidR="00142535" w:rsidRPr="00733707">
        <w:rPr>
          <w:b/>
          <w:bCs/>
          <w:color w:val="auto"/>
        </w:rPr>
        <w:t>Outputs</w:t>
      </w:r>
      <w:r w:rsidRPr="00733707">
        <w:rPr>
          <w:b/>
          <w:bCs/>
          <w:color w:val="auto"/>
        </w:rPr>
        <w:t xml:space="preserve"> and indicators</w:t>
      </w:r>
    </w:p>
    <w:p w14:paraId="6C5AAC42" w14:textId="77777777" w:rsidR="00E2712E" w:rsidRDefault="00E2712E" w:rsidP="00E2712E">
      <w:pPr>
        <w:tabs>
          <w:tab w:val="left" w:pos="2775"/>
        </w:tabs>
        <w:jc w:val="both"/>
      </w:pPr>
      <w:r>
        <w:t xml:space="preserve">In general, the consultant is asked to put effort in </w:t>
      </w:r>
      <w:r w:rsidRPr="000D22EB">
        <w:t>find</w:t>
      </w:r>
      <w:r>
        <w:t>ing</w:t>
      </w:r>
      <w:r w:rsidRPr="000D22EB">
        <w:t xml:space="preserve"> standardized ways of measuring the</w:t>
      </w:r>
      <w:r>
        <w:t xml:space="preserve"> project</w:t>
      </w:r>
      <w:r w:rsidRPr="000D22EB">
        <w:t xml:space="preserve"> indicators</w:t>
      </w:r>
      <w:r>
        <w:t xml:space="preserve"> and try to align </w:t>
      </w:r>
      <w:r w:rsidRPr="000D22EB">
        <w:t>( as much as possible ) with standardized assessments/methodologies</w:t>
      </w:r>
      <w:r>
        <w:t>.</w:t>
      </w:r>
    </w:p>
    <w:p w14:paraId="6D8F4175" w14:textId="77777777" w:rsidR="00E2712E" w:rsidRDefault="00E2712E" w:rsidP="00E2712E">
      <w:pPr>
        <w:jc w:val="both"/>
      </w:pPr>
      <w:r>
        <w:t xml:space="preserve">The table on the following pages shows part of the logical framework of the project, with the Outcomes, Outputs and Indicators. The indicators form the main basis for the baseline study and on which the consultant should focus for establishing baseline data for the project implementation. Added is a column which explain and/or further describe some actions to be taken as part of the baseline study and the type of information that is needed to be gathered. </w:t>
      </w:r>
    </w:p>
    <w:p w14:paraId="77E3F13B" w14:textId="1ABD5460" w:rsidR="00E2712E" w:rsidRPr="00681ABB" w:rsidRDefault="00E2712E" w:rsidP="00E2712E">
      <w:pPr>
        <w:tabs>
          <w:tab w:val="left" w:pos="2775"/>
        </w:tabs>
        <w:sectPr w:rsidR="00E2712E" w:rsidRPr="00681ABB">
          <w:pgSz w:w="12240" w:h="15840"/>
          <w:pgMar w:top="1440" w:right="1440" w:bottom="1440" w:left="1440" w:header="720" w:footer="720" w:gutter="0"/>
          <w:cols w:space="720"/>
          <w:docGrid w:linePitch="360"/>
        </w:sectPr>
      </w:pPr>
    </w:p>
    <w:p w14:paraId="6B5CA06A" w14:textId="02693823" w:rsidR="00F45A84" w:rsidRDefault="00CD0F1E" w:rsidP="00720EA2">
      <w:pPr>
        <w:rPr>
          <w:i/>
          <w:iCs/>
        </w:rPr>
      </w:pPr>
      <w:r>
        <w:rPr>
          <w:i/>
          <w:iCs/>
        </w:rPr>
        <w:lastRenderedPageBreak/>
        <w:t xml:space="preserve">Overview of </w:t>
      </w:r>
      <w:r w:rsidR="00C82259">
        <w:rPr>
          <w:i/>
          <w:iCs/>
        </w:rPr>
        <w:t>intervention logic, indicators and</w:t>
      </w:r>
      <w:r w:rsidR="004034D6">
        <w:rPr>
          <w:i/>
          <w:iCs/>
        </w:rPr>
        <w:t xml:space="preserve"> the related baseline study actions. </w:t>
      </w:r>
    </w:p>
    <w:tbl>
      <w:tblPr>
        <w:tblStyle w:val="TableGrid"/>
        <w:tblW w:w="13178" w:type="dxa"/>
        <w:tblLook w:val="04A0" w:firstRow="1" w:lastRow="0" w:firstColumn="1" w:lastColumn="0" w:noHBand="0" w:noVBand="1"/>
      </w:tblPr>
      <w:tblGrid>
        <w:gridCol w:w="1271"/>
        <w:gridCol w:w="2410"/>
        <w:gridCol w:w="5812"/>
        <w:gridCol w:w="3685"/>
      </w:tblGrid>
      <w:tr w:rsidR="0013193F" w14:paraId="0ABD44D3" w14:textId="77777777" w:rsidTr="004034D6">
        <w:trPr>
          <w:trHeight w:val="265"/>
        </w:trPr>
        <w:tc>
          <w:tcPr>
            <w:tcW w:w="3681" w:type="dxa"/>
            <w:gridSpan w:val="2"/>
            <w:shd w:val="clear" w:color="auto" w:fill="ED7D31" w:themeFill="accent2"/>
          </w:tcPr>
          <w:p w14:paraId="28E11991" w14:textId="4EF00311" w:rsidR="0013193F" w:rsidRPr="00F45A84" w:rsidRDefault="0013193F" w:rsidP="00AF1354">
            <w:pPr>
              <w:rPr>
                <w:b/>
                <w:bCs/>
              </w:rPr>
            </w:pPr>
            <w:r w:rsidRPr="00F45A84">
              <w:rPr>
                <w:b/>
                <w:bCs/>
              </w:rPr>
              <w:t>Intervention logic</w:t>
            </w:r>
          </w:p>
        </w:tc>
        <w:tc>
          <w:tcPr>
            <w:tcW w:w="5812" w:type="dxa"/>
            <w:shd w:val="clear" w:color="auto" w:fill="ED7D31" w:themeFill="accent2"/>
          </w:tcPr>
          <w:p w14:paraId="7BA78C65" w14:textId="74E8FA8E" w:rsidR="0013193F" w:rsidRPr="00F45A84" w:rsidRDefault="0013193F" w:rsidP="00AF1354">
            <w:pPr>
              <w:rPr>
                <w:b/>
                <w:bCs/>
              </w:rPr>
            </w:pPr>
            <w:r w:rsidRPr="00F45A84">
              <w:rPr>
                <w:b/>
                <w:bCs/>
              </w:rPr>
              <w:t>Indicators</w:t>
            </w:r>
          </w:p>
        </w:tc>
        <w:tc>
          <w:tcPr>
            <w:tcW w:w="3685" w:type="dxa"/>
            <w:shd w:val="clear" w:color="auto" w:fill="ED7D31" w:themeFill="accent2"/>
          </w:tcPr>
          <w:p w14:paraId="65C1F30E" w14:textId="7616F1CD" w:rsidR="0013193F" w:rsidRPr="00F45A84" w:rsidRDefault="00422B46" w:rsidP="00AF1354">
            <w:pPr>
              <w:rPr>
                <w:b/>
                <w:bCs/>
              </w:rPr>
            </w:pPr>
            <w:r>
              <w:rPr>
                <w:b/>
                <w:bCs/>
              </w:rPr>
              <w:t>(Further) Baseline study actions</w:t>
            </w:r>
          </w:p>
        </w:tc>
      </w:tr>
      <w:tr w:rsidR="0013193F" w14:paraId="576DA75D" w14:textId="77777777" w:rsidTr="004034D6">
        <w:trPr>
          <w:trHeight w:val="250"/>
        </w:trPr>
        <w:tc>
          <w:tcPr>
            <w:tcW w:w="1271" w:type="dxa"/>
          </w:tcPr>
          <w:p w14:paraId="1A0607EE" w14:textId="7D21CFD5" w:rsidR="0013193F" w:rsidRPr="00F45A84" w:rsidRDefault="0013193F" w:rsidP="002F281A">
            <w:pPr>
              <w:rPr>
                <w:b/>
                <w:bCs/>
              </w:rPr>
            </w:pPr>
            <w:r w:rsidRPr="00F45A84">
              <w:rPr>
                <w:b/>
                <w:bCs/>
              </w:rPr>
              <w:t>Impact</w:t>
            </w:r>
          </w:p>
        </w:tc>
        <w:tc>
          <w:tcPr>
            <w:tcW w:w="2410" w:type="dxa"/>
          </w:tcPr>
          <w:p w14:paraId="07C05BBC" w14:textId="51CAE3A3" w:rsidR="0013193F" w:rsidRPr="0013193F" w:rsidRDefault="0013193F" w:rsidP="0013193F">
            <w:pPr>
              <w:pStyle w:val="NoSpacing"/>
              <w:spacing w:line="276" w:lineRule="auto"/>
              <w:rPr>
                <w:b/>
                <w:bCs/>
                <w:sz w:val="18"/>
                <w:szCs w:val="18"/>
              </w:rPr>
            </w:pPr>
            <w:r w:rsidRPr="006E309C">
              <w:rPr>
                <w:b/>
                <w:sz w:val="18"/>
                <w:szCs w:val="18"/>
              </w:rPr>
              <w:t xml:space="preserve">Contributing to </w:t>
            </w:r>
            <w:r w:rsidRPr="006E309C">
              <w:rPr>
                <w:b/>
                <w:bCs/>
                <w:sz w:val="18"/>
                <w:szCs w:val="18"/>
              </w:rPr>
              <w:t>improved tenure security and land</w:t>
            </w:r>
            <w:r>
              <w:rPr>
                <w:b/>
                <w:bCs/>
                <w:sz w:val="18"/>
                <w:szCs w:val="18"/>
              </w:rPr>
              <w:t xml:space="preserve"> </w:t>
            </w:r>
            <w:r w:rsidRPr="006E309C">
              <w:rPr>
                <w:b/>
                <w:bCs/>
                <w:sz w:val="18"/>
                <w:szCs w:val="18"/>
              </w:rPr>
              <w:t>governance in Burundi</w:t>
            </w:r>
          </w:p>
        </w:tc>
        <w:tc>
          <w:tcPr>
            <w:tcW w:w="5812" w:type="dxa"/>
          </w:tcPr>
          <w:p w14:paraId="746AEE8E" w14:textId="04AD4F1A" w:rsidR="0013193F" w:rsidRDefault="0013193F" w:rsidP="002F281A"/>
        </w:tc>
        <w:tc>
          <w:tcPr>
            <w:tcW w:w="3685" w:type="dxa"/>
            <w:shd w:val="clear" w:color="auto" w:fill="F7CAAC" w:themeFill="accent2" w:themeFillTint="66"/>
          </w:tcPr>
          <w:p w14:paraId="454EA729" w14:textId="77777777" w:rsidR="0013193F" w:rsidRDefault="0013193F" w:rsidP="002F281A"/>
        </w:tc>
      </w:tr>
      <w:tr w:rsidR="0013193F" w14:paraId="038DD65B" w14:textId="77777777" w:rsidTr="004034D6">
        <w:trPr>
          <w:trHeight w:val="1755"/>
        </w:trPr>
        <w:tc>
          <w:tcPr>
            <w:tcW w:w="1271" w:type="dxa"/>
          </w:tcPr>
          <w:p w14:paraId="24BA8D34" w14:textId="7743BA70" w:rsidR="0013193F" w:rsidRPr="00F45A84" w:rsidRDefault="0013193F" w:rsidP="002F281A">
            <w:pPr>
              <w:rPr>
                <w:b/>
                <w:bCs/>
              </w:rPr>
            </w:pPr>
            <w:r w:rsidRPr="00F45A84">
              <w:rPr>
                <w:b/>
                <w:bCs/>
              </w:rPr>
              <w:t>Outcome 1</w:t>
            </w:r>
          </w:p>
        </w:tc>
        <w:tc>
          <w:tcPr>
            <w:tcW w:w="2410" w:type="dxa"/>
          </w:tcPr>
          <w:p w14:paraId="65E6B180" w14:textId="7057AC77" w:rsidR="0013193F" w:rsidRPr="006E309C" w:rsidRDefault="0013193F" w:rsidP="002F281A">
            <w:pPr>
              <w:pStyle w:val="NoSpacing"/>
              <w:spacing w:line="276" w:lineRule="auto"/>
              <w:rPr>
                <w:b/>
                <w:sz w:val="18"/>
                <w:szCs w:val="18"/>
              </w:rPr>
            </w:pPr>
            <w:r w:rsidRPr="006E309C">
              <w:rPr>
                <w:b/>
                <w:sz w:val="18"/>
                <w:szCs w:val="18"/>
              </w:rPr>
              <w:t xml:space="preserve">The tested LTR approach is implemented in Nyanza Lac </w:t>
            </w:r>
            <w:r w:rsidR="0079721A">
              <w:rPr>
                <w:b/>
                <w:sz w:val="18"/>
                <w:szCs w:val="18"/>
              </w:rPr>
              <w:t>district</w:t>
            </w:r>
            <w:r w:rsidRPr="006E309C">
              <w:rPr>
                <w:b/>
                <w:sz w:val="18"/>
                <w:szCs w:val="18"/>
              </w:rPr>
              <w:t xml:space="preserve"> through the </w:t>
            </w:r>
            <w:r w:rsidRPr="006E309C">
              <w:rPr>
                <w:b/>
                <w:bCs/>
                <w:sz w:val="18"/>
                <w:szCs w:val="18"/>
              </w:rPr>
              <w:t xml:space="preserve">sustainable </w:t>
            </w:r>
            <w:r w:rsidRPr="006E309C">
              <w:rPr>
                <w:b/>
                <w:sz w:val="18"/>
                <w:szCs w:val="18"/>
              </w:rPr>
              <w:t>operationalization of the SFC</w:t>
            </w:r>
          </w:p>
          <w:p w14:paraId="1BCF04BC" w14:textId="77777777" w:rsidR="0013193F" w:rsidRDefault="0013193F" w:rsidP="002F281A"/>
        </w:tc>
        <w:tc>
          <w:tcPr>
            <w:tcW w:w="5812" w:type="dxa"/>
          </w:tcPr>
          <w:p w14:paraId="1884972D" w14:textId="145ACF14" w:rsidR="0013193F" w:rsidRPr="006E309C" w:rsidRDefault="0013193F" w:rsidP="002F281A">
            <w:pPr>
              <w:pStyle w:val="NoSpacing"/>
              <w:spacing w:line="276" w:lineRule="auto"/>
              <w:rPr>
                <w:rFonts w:eastAsiaTheme="minorEastAsia"/>
                <w:sz w:val="18"/>
                <w:szCs w:val="18"/>
              </w:rPr>
            </w:pPr>
            <w:r w:rsidRPr="00AD0286">
              <w:rPr>
                <w:rFonts w:eastAsiaTheme="minorEastAsia"/>
                <w:sz w:val="18"/>
                <w:szCs w:val="18"/>
              </w:rPr>
              <w:t>Number of people that enjoy (more) secure tenure rights to land (m/f).</w:t>
            </w:r>
          </w:p>
          <w:p w14:paraId="31A868C6" w14:textId="77777777" w:rsidR="0013193F" w:rsidRPr="006E309C" w:rsidRDefault="0013193F" w:rsidP="002F281A">
            <w:pPr>
              <w:pStyle w:val="NoSpacing"/>
              <w:spacing w:line="276" w:lineRule="auto"/>
              <w:ind w:left="720"/>
              <w:rPr>
                <w:rFonts w:eastAsiaTheme="minorEastAsia"/>
                <w:sz w:val="18"/>
                <w:szCs w:val="18"/>
              </w:rPr>
            </w:pPr>
          </w:p>
          <w:p w14:paraId="24C83C16" w14:textId="33E4F6DA" w:rsidR="0013193F" w:rsidRPr="00AD0286" w:rsidRDefault="0013193F" w:rsidP="002F281A">
            <w:pPr>
              <w:pStyle w:val="NoSpacing"/>
              <w:spacing w:line="276" w:lineRule="auto"/>
              <w:rPr>
                <w:rFonts w:eastAsiaTheme="minorEastAsia"/>
                <w:sz w:val="18"/>
                <w:szCs w:val="18"/>
              </w:rPr>
            </w:pPr>
            <w:r w:rsidRPr="00AD0286">
              <w:rPr>
                <w:sz w:val="18"/>
                <w:szCs w:val="18"/>
              </w:rPr>
              <w:t>Number of hectares of farmland directly reached</w:t>
            </w:r>
            <w:r w:rsidR="00903CB5">
              <w:rPr>
                <w:sz w:val="18"/>
                <w:szCs w:val="18"/>
              </w:rPr>
              <w:t>.</w:t>
            </w:r>
          </w:p>
          <w:p w14:paraId="30B5EEC3" w14:textId="77777777" w:rsidR="0013193F" w:rsidRPr="006E309C" w:rsidRDefault="0013193F" w:rsidP="002F281A">
            <w:pPr>
              <w:pStyle w:val="NoSpacing"/>
              <w:spacing w:line="276" w:lineRule="auto"/>
              <w:rPr>
                <w:sz w:val="18"/>
                <w:szCs w:val="18"/>
              </w:rPr>
            </w:pPr>
          </w:p>
          <w:p w14:paraId="23C7C561" w14:textId="4D907DCC" w:rsidR="0013193F" w:rsidRPr="002F281A" w:rsidRDefault="0013193F" w:rsidP="002F281A">
            <w:pPr>
              <w:pStyle w:val="NoSpacing"/>
              <w:spacing w:line="276" w:lineRule="auto"/>
              <w:rPr>
                <w:rFonts w:eastAsia="Calibri" w:cs="Calibri"/>
                <w:color w:val="333333"/>
                <w:sz w:val="18"/>
                <w:szCs w:val="18"/>
              </w:rPr>
            </w:pPr>
            <w:r w:rsidRPr="0013193F">
              <w:rPr>
                <w:rFonts w:eastAsia="Calibri" w:cs="Calibri"/>
                <w:sz w:val="18"/>
                <w:szCs w:val="18"/>
              </w:rPr>
              <w:t>The proportion of the adult population in the target area who perceive their tenure rights as legally secure, regardless of whether these rights are documented.</w:t>
            </w:r>
          </w:p>
        </w:tc>
        <w:tc>
          <w:tcPr>
            <w:tcW w:w="3685" w:type="dxa"/>
            <w:shd w:val="clear" w:color="auto" w:fill="F7CAAC" w:themeFill="accent2" w:themeFillTint="66"/>
          </w:tcPr>
          <w:p w14:paraId="0EAD2276" w14:textId="4A794F7A" w:rsidR="00903CB5" w:rsidRPr="002E07F4" w:rsidRDefault="00DF1BD2" w:rsidP="002F281A">
            <w:pPr>
              <w:rPr>
                <w:i/>
                <w:iCs/>
                <w:sz w:val="18"/>
                <w:szCs w:val="18"/>
              </w:rPr>
            </w:pPr>
            <w:r w:rsidRPr="002E07F4">
              <w:rPr>
                <w:i/>
                <w:iCs/>
                <w:sz w:val="18"/>
                <w:szCs w:val="18"/>
              </w:rPr>
              <w:t xml:space="preserve">Align with </w:t>
            </w:r>
            <w:proofErr w:type="spellStart"/>
            <w:r w:rsidRPr="002E07F4">
              <w:rPr>
                <w:i/>
                <w:iCs/>
                <w:sz w:val="18"/>
                <w:szCs w:val="18"/>
              </w:rPr>
              <w:t>MoFA</w:t>
            </w:r>
            <w:proofErr w:type="spellEnd"/>
            <w:r w:rsidRPr="002E07F4">
              <w:rPr>
                <w:i/>
                <w:iCs/>
                <w:sz w:val="18"/>
                <w:szCs w:val="18"/>
              </w:rPr>
              <w:t xml:space="preserve"> methodologies to measure </w:t>
            </w:r>
            <w:r w:rsidR="002E07F4" w:rsidRPr="002E07F4">
              <w:rPr>
                <w:i/>
                <w:iCs/>
                <w:sz w:val="18"/>
                <w:szCs w:val="18"/>
              </w:rPr>
              <w:t xml:space="preserve">these indicators. </w:t>
            </w:r>
          </w:p>
          <w:p w14:paraId="53566657" w14:textId="76EA9816" w:rsidR="00903CB5" w:rsidRDefault="00903CB5" w:rsidP="002F281A">
            <w:pPr>
              <w:rPr>
                <w:sz w:val="18"/>
                <w:szCs w:val="18"/>
              </w:rPr>
            </w:pPr>
          </w:p>
          <w:p w14:paraId="20D96D32" w14:textId="77777777" w:rsidR="002E07F4" w:rsidRDefault="002E07F4" w:rsidP="002F281A">
            <w:pPr>
              <w:rPr>
                <w:sz w:val="18"/>
                <w:szCs w:val="18"/>
              </w:rPr>
            </w:pPr>
          </w:p>
          <w:p w14:paraId="1CDA19E8" w14:textId="77777777" w:rsidR="00903CB5" w:rsidRDefault="00903CB5" w:rsidP="002F281A">
            <w:pPr>
              <w:rPr>
                <w:sz w:val="18"/>
                <w:szCs w:val="18"/>
              </w:rPr>
            </w:pPr>
          </w:p>
          <w:p w14:paraId="41EBEAA3" w14:textId="157241BA" w:rsidR="002B1B34" w:rsidRPr="00C506E3" w:rsidRDefault="002B1B34" w:rsidP="002F281A">
            <w:pPr>
              <w:rPr>
                <w:i/>
                <w:iCs/>
              </w:rPr>
            </w:pPr>
            <w:r w:rsidRPr="00D420C0">
              <w:rPr>
                <w:sz w:val="18"/>
                <w:szCs w:val="18"/>
              </w:rPr>
              <w:t xml:space="preserve">Assessment of </w:t>
            </w:r>
            <w:r w:rsidR="00D420C0" w:rsidRPr="00D420C0">
              <w:rPr>
                <w:sz w:val="18"/>
                <w:szCs w:val="18"/>
              </w:rPr>
              <w:t xml:space="preserve">perception of the population of land tenure security. </w:t>
            </w:r>
            <w:r w:rsidR="00C506E3" w:rsidRPr="00C506E3">
              <w:rPr>
                <w:i/>
                <w:iCs/>
                <w:sz w:val="18"/>
                <w:szCs w:val="18"/>
              </w:rPr>
              <w:t xml:space="preserve">Try to align with SDG 1.4.2 for the definition and/or </w:t>
            </w:r>
            <w:proofErr w:type="spellStart"/>
            <w:r w:rsidR="00C506E3" w:rsidRPr="00C506E3">
              <w:rPr>
                <w:i/>
                <w:iCs/>
                <w:sz w:val="18"/>
                <w:szCs w:val="18"/>
              </w:rPr>
              <w:t>PRindex</w:t>
            </w:r>
            <w:proofErr w:type="spellEnd"/>
            <w:r w:rsidR="00C506E3" w:rsidRPr="00C506E3">
              <w:rPr>
                <w:i/>
                <w:iCs/>
                <w:sz w:val="18"/>
                <w:szCs w:val="18"/>
              </w:rPr>
              <w:t>.</w:t>
            </w:r>
          </w:p>
        </w:tc>
      </w:tr>
      <w:tr w:rsidR="0013193F" w14:paraId="4D2CACA1" w14:textId="77777777" w:rsidTr="004034D6">
        <w:trPr>
          <w:trHeight w:val="250"/>
        </w:trPr>
        <w:tc>
          <w:tcPr>
            <w:tcW w:w="1271" w:type="dxa"/>
          </w:tcPr>
          <w:p w14:paraId="73652670" w14:textId="6A3675F3" w:rsidR="0013193F" w:rsidRPr="00F45A84" w:rsidRDefault="0013193F" w:rsidP="002F281A">
            <w:pPr>
              <w:rPr>
                <w:b/>
                <w:bCs/>
              </w:rPr>
            </w:pPr>
            <w:r w:rsidRPr="00F45A84">
              <w:rPr>
                <w:b/>
                <w:bCs/>
              </w:rPr>
              <w:t>Output 1.1</w:t>
            </w:r>
          </w:p>
        </w:tc>
        <w:tc>
          <w:tcPr>
            <w:tcW w:w="2410" w:type="dxa"/>
          </w:tcPr>
          <w:p w14:paraId="3B0DAA02" w14:textId="48DE2262" w:rsidR="0013193F" w:rsidRDefault="0013193F" w:rsidP="002F281A">
            <w:r w:rsidRPr="006E309C">
              <w:rPr>
                <w:sz w:val="18"/>
                <w:szCs w:val="18"/>
              </w:rPr>
              <w:t xml:space="preserve">The </w:t>
            </w:r>
            <w:r w:rsidR="0079721A">
              <w:rPr>
                <w:sz w:val="18"/>
                <w:szCs w:val="18"/>
              </w:rPr>
              <w:t>district</w:t>
            </w:r>
            <w:r w:rsidRPr="006E309C">
              <w:rPr>
                <w:sz w:val="18"/>
                <w:szCs w:val="18"/>
              </w:rPr>
              <w:t xml:space="preserve"> and the SFC have strengthened capacities on LTR</w:t>
            </w:r>
          </w:p>
        </w:tc>
        <w:tc>
          <w:tcPr>
            <w:tcW w:w="5812" w:type="dxa"/>
          </w:tcPr>
          <w:p w14:paraId="35FF8473" w14:textId="77777777" w:rsidR="0013193F" w:rsidRDefault="0013193F" w:rsidP="002F281A">
            <w:pPr>
              <w:pStyle w:val="NoSpacing"/>
              <w:spacing w:line="276" w:lineRule="auto"/>
              <w:rPr>
                <w:rFonts w:eastAsia="Calibri" w:cs="Arial"/>
                <w:sz w:val="18"/>
                <w:szCs w:val="18"/>
              </w:rPr>
            </w:pPr>
            <w:r w:rsidRPr="006E309C">
              <w:rPr>
                <w:rFonts w:eastAsia="Calibri" w:cs="Arial"/>
                <w:sz w:val="18"/>
                <w:szCs w:val="18"/>
              </w:rPr>
              <w:t>Improved perception of service delivery by the SFC among the population.</w:t>
            </w:r>
          </w:p>
          <w:p w14:paraId="2688F277" w14:textId="77777777" w:rsidR="0013193F" w:rsidRPr="006E309C" w:rsidRDefault="0013193F" w:rsidP="002F281A">
            <w:pPr>
              <w:pStyle w:val="NoSpacing"/>
              <w:spacing w:line="276" w:lineRule="auto"/>
              <w:rPr>
                <w:rFonts w:eastAsia="Calibri" w:cs="Arial"/>
                <w:sz w:val="18"/>
                <w:szCs w:val="18"/>
              </w:rPr>
            </w:pPr>
          </w:p>
          <w:p w14:paraId="0A809E89" w14:textId="6ECA8C08" w:rsidR="0013193F" w:rsidRDefault="0013193F" w:rsidP="002F281A">
            <w:r w:rsidRPr="006E309C">
              <w:rPr>
                <w:rFonts w:eastAsia="Calibri" w:cs="Arial"/>
                <w:sz w:val="18"/>
                <w:szCs w:val="18"/>
              </w:rPr>
              <w:t>Delivery of land tenure registration services measured by number of registered plots.</w:t>
            </w:r>
          </w:p>
        </w:tc>
        <w:tc>
          <w:tcPr>
            <w:tcW w:w="3685" w:type="dxa"/>
            <w:shd w:val="clear" w:color="auto" w:fill="F7CAAC" w:themeFill="accent2" w:themeFillTint="66"/>
          </w:tcPr>
          <w:p w14:paraId="26B48851" w14:textId="606CDEE0" w:rsidR="00810A1D" w:rsidRDefault="00810A1D" w:rsidP="002F281A">
            <w:pPr>
              <w:rPr>
                <w:sz w:val="18"/>
                <w:szCs w:val="18"/>
              </w:rPr>
            </w:pPr>
            <w:r>
              <w:rPr>
                <w:sz w:val="18"/>
                <w:szCs w:val="18"/>
              </w:rPr>
              <w:t xml:space="preserve">Assessment of the </w:t>
            </w:r>
            <w:r w:rsidR="009F28EA">
              <w:rPr>
                <w:sz w:val="18"/>
                <w:szCs w:val="18"/>
              </w:rPr>
              <w:t xml:space="preserve">perception of the population on the SFC service delivery. </w:t>
            </w:r>
          </w:p>
          <w:p w14:paraId="034EAD63" w14:textId="18036DBB" w:rsidR="0013193F" w:rsidRDefault="00E93C03" w:rsidP="002F281A">
            <w:r w:rsidRPr="001129EC">
              <w:rPr>
                <w:sz w:val="18"/>
                <w:szCs w:val="18"/>
              </w:rPr>
              <w:t xml:space="preserve">Assessment of the </w:t>
            </w:r>
            <w:r w:rsidR="00903CB5">
              <w:rPr>
                <w:sz w:val="18"/>
                <w:szCs w:val="18"/>
              </w:rPr>
              <w:t xml:space="preserve">current </w:t>
            </w:r>
            <w:r w:rsidRPr="001129EC">
              <w:rPr>
                <w:sz w:val="18"/>
                <w:szCs w:val="18"/>
              </w:rPr>
              <w:t>status of the SFC in Nyanza Lac</w:t>
            </w:r>
            <w:r w:rsidR="00810A1D">
              <w:rPr>
                <w:sz w:val="18"/>
                <w:szCs w:val="18"/>
              </w:rPr>
              <w:t>: How operational are they now?</w:t>
            </w:r>
          </w:p>
        </w:tc>
      </w:tr>
      <w:tr w:rsidR="0013193F" w14:paraId="0C738C67" w14:textId="77777777" w:rsidTr="004034D6">
        <w:trPr>
          <w:trHeight w:val="265"/>
        </w:trPr>
        <w:tc>
          <w:tcPr>
            <w:tcW w:w="1271" w:type="dxa"/>
          </w:tcPr>
          <w:p w14:paraId="45E771AF" w14:textId="6CADFD7C" w:rsidR="0013193F" w:rsidRPr="00F45A84" w:rsidRDefault="0013193F" w:rsidP="002F281A">
            <w:pPr>
              <w:rPr>
                <w:b/>
                <w:bCs/>
              </w:rPr>
            </w:pPr>
            <w:r w:rsidRPr="00F45A84">
              <w:rPr>
                <w:b/>
                <w:bCs/>
              </w:rPr>
              <w:t>Output 1.2</w:t>
            </w:r>
          </w:p>
        </w:tc>
        <w:tc>
          <w:tcPr>
            <w:tcW w:w="2410" w:type="dxa"/>
          </w:tcPr>
          <w:p w14:paraId="63914A57" w14:textId="1DBDBA50" w:rsidR="0013193F" w:rsidRDefault="0013193F" w:rsidP="002F281A">
            <w:r w:rsidRPr="006E309C">
              <w:rPr>
                <w:sz w:val="18"/>
                <w:szCs w:val="18"/>
              </w:rPr>
              <w:t xml:space="preserve">The </w:t>
            </w:r>
            <w:r w:rsidR="0079721A">
              <w:rPr>
                <w:sz w:val="18"/>
                <w:szCs w:val="18"/>
              </w:rPr>
              <w:t>district</w:t>
            </w:r>
            <w:r w:rsidRPr="006E309C">
              <w:rPr>
                <w:sz w:val="18"/>
                <w:szCs w:val="18"/>
              </w:rPr>
              <w:t xml:space="preserve"> and the SFC have strengthened capacities on good governance</w:t>
            </w:r>
          </w:p>
        </w:tc>
        <w:tc>
          <w:tcPr>
            <w:tcW w:w="5812" w:type="dxa"/>
          </w:tcPr>
          <w:p w14:paraId="050CC789" w14:textId="09349DC3" w:rsidR="00984B8F" w:rsidRPr="00984B8F" w:rsidRDefault="0013193F" w:rsidP="002F281A">
            <w:pPr>
              <w:pStyle w:val="NoSpacing"/>
              <w:spacing w:line="276" w:lineRule="auto"/>
              <w:rPr>
                <w:sz w:val="18"/>
                <w:szCs w:val="18"/>
              </w:rPr>
            </w:pPr>
            <w:r w:rsidRPr="006E309C">
              <w:rPr>
                <w:sz w:val="18"/>
                <w:szCs w:val="18"/>
              </w:rPr>
              <w:t>Establishment of tested and agreed guidelines for participatory budgeting process.</w:t>
            </w:r>
          </w:p>
          <w:p w14:paraId="789A18BB" w14:textId="77777777" w:rsidR="004A7FD3" w:rsidRPr="006E309C" w:rsidRDefault="004A7FD3" w:rsidP="002F281A">
            <w:pPr>
              <w:pStyle w:val="NoSpacing"/>
              <w:spacing w:line="276" w:lineRule="auto"/>
              <w:rPr>
                <w:rFonts w:eastAsia="Calibri" w:cs="Arial"/>
                <w:sz w:val="18"/>
                <w:szCs w:val="18"/>
              </w:rPr>
            </w:pPr>
          </w:p>
          <w:p w14:paraId="5B010E34" w14:textId="504BB0C0" w:rsidR="0013193F" w:rsidRDefault="0013193F" w:rsidP="002F281A">
            <w:r w:rsidRPr="006E309C">
              <w:rPr>
                <w:rFonts w:eastAsia="Calibri" w:cs="Arial"/>
                <w:sz w:val="18"/>
                <w:szCs w:val="18"/>
              </w:rPr>
              <w:t xml:space="preserve">Perception of service delivery by the </w:t>
            </w:r>
            <w:r w:rsidR="0079721A">
              <w:rPr>
                <w:rFonts w:eastAsia="Calibri" w:cs="Arial"/>
                <w:sz w:val="18"/>
                <w:szCs w:val="18"/>
              </w:rPr>
              <w:t>district</w:t>
            </w:r>
            <w:r w:rsidRPr="006E309C">
              <w:rPr>
                <w:rFonts w:eastAsia="Calibri" w:cs="Arial"/>
                <w:sz w:val="18"/>
                <w:szCs w:val="18"/>
              </w:rPr>
              <w:t xml:space="preserve"> among the population.</w:t>
            </w:r>
          </w:p>
        </w:tc>
        <w:tc>
          <w:tcPr>
            <w:tcW w:w="3685" w:type="dxa"/>
            <w:shd w:val="clear" w:color="auto" w:fill="F7CAAC" w:themeFill="accent2" w:themeFillTint="66"/>
          </w:tcPr>
          <w:p w14:paraId="136D855E" w14:textId="65EB467D" w:rsidR="0013193F" w:rsidRDefault="00E93C03" w:rsidP="002F281A">
            <w:pPr>
              <w:rPr>
                <w:sz w:val="18"/>
                <w:szCs w:val="18"/>
              </w:rPr>
            </w:pPr>
            <w:r w:rsidRPr="00E93C03">
              <w:rPr>
                <w:sz w:val="18"/>
                <w:szCs w:val="18"/>
              </w:rPr>
              <w:t>Identification of needs</w:t>
            </w:r>
            <w:r w:rsidR="00966B85">
              <w:rPr>
                <w:sz w:val="18"/>
                <w:szCs w:val="18"/>
              </w:rPr>
              <w:t xml:space="preserve"> of the </w:t>
            </w:r>
            <w:r w:rsidR="0079721A">
              <w:rPr>
                <w:sz w:val="18"/>
                <w:szCs w:val="18"/>
              </w:rPr>
              <w:t>district</w:t>
            </w:r>
            <w:r w:rsidR="00966B85">
              <w:rPr>
                <w:sz w:val="18"/>
                <w:szCs w:val="18"/>
              </w:rPr>
              <w:t xml:space="preserve"> and the SFC in terms of good governance.</w:t>
            </w:r>
          </w:p>
          <w:p w14:paraId="25539DB3" w14:textId="41931A19" w:rsidR="004A7FD3" w:rsidRPr="00984B8F" w:rsidRDefault="004A7FD3" w:rsidP="004A7FD3">
            <w:pPr>
              <w:pStyle w:val="CommentText"/>
              <w:rPr>
                <w:i/>
                <w:iCs/>
                <w:sz w:val="18"/>
                <w:szCs w:val="18"/>
              </w:rPr>
            </w:pPr>
            <w:r w:rsidRPr="00984B8F">
              <w:rPr>
                <w:i/>
                <w:iCs/>
                <w:sz w:val="18"/>
                <w:szCs w:val="18"/>
              </w:rPr>
              <w:t xml:space="preserve">(how </w:t>
            </w:r>
            <w:r w:rsidR="00984B8F" w:rsidRPr="00984B8F">
              <w:rPr>
                <w:i/>
                <w:iCs/>
                <w:sz w:val="18"/>
                <w:szCs w:val="18"/>
              </w:rPr>
              <w:t>participative and i</w:t>
            </w:r>
            <w:r w:rsidRPr="00984B8F">
              <w:rPr>
                <w:i/>
                <w:iCs/>
                <w:sz w:val="18"/>
                <w:szCs w:val="18"/>
              </w:rPr>
              <w:t>nclusive</w:t>
            </w:r>
            <w:r w:rsidR="00984B8F" w:rsidRPr="00984B8F">
              <w:rPr>
                <w:i/>
                <w:iCs/>
                <w:sz w:val="18"/>
                <w:szCs w:val="18"/>
              </w:rPr>
              <w:t xml:space="preserve"> is the process)</w:t>
            </w:r>
          </w:p>
          <w:p w14:paraId="60FD8DFC" w14:textId="77777777" w:rsidR="00984B8F" w:rsidRDefault="00984B8F" w:rsidP="004A7FD3">
            <w:pPr>
              <w:pStyle w:val="CommentText"/>
              <w:rPr>
                <w:sz w:val="18"/>
                <w:szCs w:val="18"/>
              </w:rPr>
            </w:pPr>
          </w:p>
          <w:p w14:paraId="528AD39B" w14:textId="3C80C8D5" w:rsidR="009B0304" w:rsidRPr="009B0304" w:rsidRDefault="004A7FD3" w:rsidP="00984B8F">
            <w:pPr>
              <w:pStyle w:val="CommentText"/>
              <w:rPr>
                <w:sz w:val="18"/>
                <w:szCs w:val="18"/>
              </w:rPr>
            </w:pPr>
            <w:r w:rsidRPr="00984B8F">
              <w:rPr>
                <w:sz w:val="18"/>
                <w:szCs w:val="18"/>
              </w:rPr>
              <w:t>Assessment of the perception of the population of the service delivery of the district</w:t>
            </w:r>
            <w:r w:rsidR="00111262" w:rsidRPr="00984B8F">
              <w:rPr>
                <w:sz w:val="18"/>
                <w:szCs w:val="18"/>
              </w:rPr>
              <w:t xml:space="preserve"> through assessing the l</w:t>
            </w:r>
            <w:r w:rsidRPr="00984B8F">
              <w:rPr>
                <w:sz w:val="18"/>
                <w:szCs w:val="18"/>
              </w:rPr>
              <w:t xml:space="preserve">evel of satisfaction of the population of service delivery </w:t>
            </w:r>
            <w:r w:rsidR="00111262" w:rsidRPr="00984B8F">
              <w:rPr>
                <w:sz w:val="18"/>
                <w:szCs w:val="18"/>
              </w:rPr>
              <w:t xml:space="preserve">by the </w:t>
            </w:r>
            <w:r w:rsidRPr="00984B8F">
              <w:rPr>
                <w:sz w:val="18"/>
                <w:szCs w:val="18"/>
              </w:rPr>
              <w:t>community score card as tool</w:t>
            </w:r>
            <w:r w:rsidR="00111262" w:rsidRPr="00984B8F">
              <w:rPr>
                <w:sz w:val="18"/>
                <w:szCs w:val="18"/>
              </w:rPr>
              <w:t>.</w:t>
            </w:r>
          </w:p>
        </w:tc>
      </w:tr>
      <w:tr w:rsidR="0013193F" w14:paraId="17C5764B" w14:textId="77777777" w:rsidTr="004034D6">
        <w:trPr>
          <w:trHeight w:val="250"/>
        </w:trPr>
        <w:tc>
          <w:tcPr>
            <w:tcW w:w="1271" w:type="dxa"/>
          </w:tcPr>
          <w:p w14:paraId="47DDFC92" w14:textId="5ADCE2E9" w:rsidR="0013193F" w:rsidRPr="00F45A84" w:rsidRDefault="0013193F" w:rsidP="00856A71">
            <w:pPr>
              <w:rPr>
                <w:b/>
                <w:bCs/>
              </w:rPr>
            </w:pPr>
            <w:r w:rsidRPr="00F45A84">
              <w:rPr>
                <w:b/>
                <w:bCs/>
              </w:rPr>
              <w:t>Output 1.3</w:t>
            </w:r>
          </w:p>
        </w:tc>
        <w:tc>
          <w:tcPr>
            <w:tcW w:w="2410" w:type="dxa"/>
          </w:tcPr>
          <w:p w14:paraId="368CC410" w14:textId="4354DF9A" w:rsidR="0013193F" w:rsidRDefault="0013193F" w:rsidP="00856A71">
            <w:r w:rsidRPr="006E309C">
              <w:rPr>
                <w:sz w:val="18"/>
                <w:szCs w:val="18"/>
              </w:rPr>
              <w:t xml:space="preserve">Increased awareness of the population on LTR, women’s land rights and local land conflict resolution mechanisms. </w:t>
            </w:r>
          </w:p>
        </w:tc>
        <w:tc>
          <w:tcPr>
            <w:tcW w:w="5812" w:type="dxa"/>
          </w:tcPr>
          <w:p w14:paraId="2A12E40C" w14:textId="77777777" w:rsidR="0013193F" w:rsidRPr="00AE6964" w:rsidRDefault="0013193F" w:rsidP="00856A71">
            <w:pPr>
              <w:pStyle w:val="NoSpacing"/>
              <w:spacing w:line="276" w:lineRule="auto"/>
              <w:rPr>
                <w:b/>
                <w:bCs/>
                <w:sz w:val="18"/>
                <w:szCs w:val="18"/>
                <w:lang w:val="en-GB"/>
              </w:rPr>
            </w:pPr>
            <w:r w:rsidRPr="00AE6964">
              <w:rPr>
                <w:sz w:val="18"/>
                <w:szCs w:val="18"/>
              </w:rPr>
              <w:t>% of Nyanza Lac population</w:t>
            </w:r>
            <w:r>
              <w:rPr>
                <w:sz w:val="18"/>
                <w:szCs w:val="18"/>
              </w:rPr>
              <w:t xml:space="preserve"> reached</w:t>
            </w:r>
            <w:r w:rsidRPr="00AE6964">
              <w:rPr>
                <w:sz w:val="18"/>
                <w:szCs w:val="18"/>
              </w:rPr>
              <w:t xml:space="preserve"> with awareness raising activities who demonstrate increased awareness on the LTR process, women’s land rights and local land conflict resolution mechanisms during the LTR and at the time of end-evaluation, disaggregated by male/female/youth.</w:t>
            </w:r>
            <w:r w:rsidRPr="00AE6964">
              <w:rPr>
                <w:sz w:val="18"/>
                <w:szCs w:val="18"/>
              </w:rPr>
              <w:br/>
            </w:r>
          </w:p>
          <w:p w14:paraId="31C376AE" w14:textId="77777777" w:rsidR="0013193F" w:rsidRPr="00AE6964" w:rsidRDefault="0013193F" w:rsidP="00856A71">
            <w:pPr>
              <w:pStyle w:val="NoSpacing"/>
              <w:spacing w:line="276" w:lineRule="auto"/>
              <w:rPr>
                <w:rFonts w:eastAsia="Calibri" w:cs="Arial"/>
                <w:b/>
                <w:bCs/>
                <w:sz w:val="18"/>
                <w:szCs w:val="18"/>
              </w:rPr>
            </w:pPr>
            <w:r w:rsidRPr="00AE6964">
              <w:rPr>
                <w:rFonts w:eastAsia="Calibri" w:cs="Arial"/>
                <w:sz w:val="18"/>
                <w:szCs w:val="18"/>
              </w:rPr>
              <w:t>% of people voicing acceptance of land being registered in the name of a wom</w:t>
            </w:r>
            <w:r>
              <w:rPr>
                <w:rFonts w:eastAsia="Calibri" w:cs="Arial"/>
                <w:sz w:val="18"/>
                <w:szCs w:val="18"/>
              </w:rPr>
              <w:t>a</w:t>
            </w:r>
            <w:r w:rsidRPr="00AE6964">
              <w:rPr>
                <w:rFonts w:eastAsia="Calibri" w:cs="Arial"/>
                <w:sz w:val="18"/>
                <w:szCs w:val="18"/>
              </w:rPr>
              <w:t>n</w:t>
            </w:r>
          </w:p>
          <w:p w14:paraId="2A2F4CE0" w14:textId="32ACAE47" w:rsidR="0013193F" w:rsidRDefault="0013193F" w:rsidP="00856A71">
            <w:r w:rsidRPr="00AE6964">
              <w:rPr>
                <w:rFonts w:eastAsia="Calibri" w:cs="Arial"/>
                <w:sz w:val="18"/>
                <w:szCs w:val="18"/>
              </w:rPr>
              <w:br/>
              <w:t>% of people voicing support for the registration of land in the name of both spouses</w:t>
            </w:r>
          </w:p>
        </w:tc>
        <w:tc>
          <w:tcPr>
            <w:tcW w:w="3685" w:type="dxa"/>
            <w:shd w:val="clear" w:color="auto" w:fill="F7CAAC" w:themeFill="accent2" w:themeFillTint="66"/>
          </w:tcPr>
          <w:p w14:paraId="7BD86BF0" w14:textId="5E95973E" w:rsidR="00A55543" w:rsidRDefault="00A44CC4" w:rsidP="00856A71">
            <w:pPr>
              <w:rPr>
                <w:sz w:val="18"/>
                <w:szCs w:val="18"/>
              </w:rPr>
            </w:pPr>
            <w:r w:rsidRPr="00817D48">
              <w:rPr>
                <w:sz w:val="18"/>
                <w:szCs w:val="18"/>
              </w:rPr>
              <w:t>Assessment of existing knowledge</w:t>
            </w:r>
            <w:r w:rsidR="00A55543">
              <w:rPr>
                <w:sz w:val="18"/>
                <w:szCs w:val="18"/>
              </w:rPr>
              <w:t xml:space="preserve"> on the LTR process, on women’s land rights and on local land conflict resolution mechanisms. </w:t>
            </w:r>
          </w:p>
          <w:p w14:paraId="1A15C518" w14:textId="77777777" w:rsidR="00A55543" w:rsidRDefault="00A55543" w:rsidP="00856A71">
            <w:pPr>
              <w:rPr>
                <w:sz w:val="18"/>
                <w:szCs w:val="18"/>
              </w:rPr>
            </w:pPr>
          </w:p>
          <w:p w14:paraId="65EFE064" w14:textId="77777777" w:rsidR="00A55543" w:rsidRDefault="00A55543" w:rsidP="00856A71">
            <w:pPr>
              <w:rPr>
                <w:sz w:val="18"/>
                <w:szCs w:val="18"/>
              </w:rPr>
            </w:pPr>
          </w:p>
          <w:p w14:paraId="73A4ED10" w14:textId="66E9E18D" w:rsidR="0013193F" w:rsidRPr="00817D48" w:rsidRDefault="00A55543" w:rsidP="00856A71">
            <w:pPr>
              <w:rPr>
                <w:sz w:val="18"/>
                <w:szCs w:val="18"/>
              </w:rPr>
            </w:pPr>
            <w:r>
              <w:rPr>
                <w:sz w:val="18"/>
                <w:szCs w:val="18"/>
              </w:rPr>
              <w:t>A</w:t>
            </w:r>
            <w:r w:rsidR="00A44CC4" w:rsidRPr="00817D48">
              <w:rPr>
                <w:sz w:val="18"/>
                <w:szCs w:val="18"/>
              </w:rPr>
              <w:t>ssessment of status</w:t>
            </w:r>
            <w:r>
              <w:rPr>
                <w:sz w:val="18"/>
                <w:szCs w:val="18"/>
              </w:rPr>
              <w:t xml:space="preserve"> and acceptance</w:t>
            </w:r>
            <w:r w:rsidR="00A44CC4" w:rsidRPr="00817D48">
              <w:rPr>
                <w:sz w:val="18"/>
                <w:szCs w:val="18"/>
              </w:rPr>
              <w:t xml:space="preserve"> of </w:t>
            </w:r>
            <w:r>
              <w:rPr>
                <w:sz w:val="18"/>
                <w:szCs w:val="18"/>
              </w:rPr>
              <w:t xml:space="preserve">the registration of </w:t>
            </w:r>
            <w:r w:rsidR="00A44CC4" w:rsidRPr="00817D48">
              <w:rPr>
                <w:sz w:val="18"/>
                <w:szCs w:val="18"/>
              </w:rPr>
              <w:t xml:space="preserve">women’s land rights. </w:t>
            </w:r>
          </w:p>
        </w:tc>
      </w:tr>
      <w:tr w:rsidR="0013193F" w14:paraId="22410268" w14:textId="77777777" w:rsidTr="004034D6">
        <w:trPr>
          <w:trHeight w:val="265"/>
        </w:trPr>
        <w:tc>
          <w:tcPr>
            <w:tcW w:w="1271" w:type="dxa"/>
          </w:tcPr>
          <w:p w14:paraId="0D57E0C8" w14:textId="02EFD47D" w:rsidR="0013193F" w:rsidRPr="00F45A84" w:rsidRDefault="0013193F" w:rsidP="00856A71">
            <w:pPr>
              <w:rPr>
                <w:b/>
                <w:bCs/>
              </w:rPr>
            </w:pPr>
            <w:r w:rsidRPr="00F45A84">
              <w:rPr>
                <w:b/>
                <w:bCs/>
              </w:rPr>
              <w:t>Output 1.4</w:t>
            </w:r>
          </w:p>
        </w:tc>
        <w:tc>
          <w:tcPr>
            <w:tcW w:w="2410" w:type="dxa"/>
          </w:tcPr>
          <w:p w14:paraId="65D4F033" w14:textId="25A6B50F" w:rsidR="0013193F" w:rsidRDefault="0013193F" w:rsidP="00856A71">
            <w:r w:rsidRPr="006E309C">
              <w:rPr>
                <w:sz w:val="18"/>
                <w:szCs w:val="18"/>
              </w:rPr>
              <w:t xml:space="preserve">The state lands in Nyanza Lac are identified and registered </w:t>
            </w:r>
          </w:p>
        </w:tc>
        <w:tc>
          <w:tcPr>
            <w:tcW w:w="5812" w:type="dxa"/>
          </w:tcPr>
          <w:p w14:paraId="7F5721B5" w14:textId="077CBD12" w:rsidR="0013193F" w:rsidRDefault="0013193F" w:rsidP="00856A71">
            <w:r w:rsidRPr="006E309C">
              <w:rPr>
                <w:sz w:val="18"/>
                <w:szCs w:val="18"/>
              </w:rPr>
              <w:t>% of coverage of state lands that are registered in Nyanza Lac</w:t>
            </w:r>
          </w:p>
        </w:tc>
        <w:tc>
          <w:tcPr>
            <w:tcW w:w="3685" w:type="dxa"/>
            <w:shd w:val="clear" w:color="auto" w:fill="F7CAAC" w:themeFill="accent2" w:themeFillTint="66"/>
          </w:tcPr>
          <w:p w14:paraId="4CB520C7" w14:textId="5EFFC3FC" w:rsidR="0013193F" w:rsidRPr="00817D48" w:rsidRDefault="0015459A" w:rsidP="00856A71">
            <w:pPr>
              <w:rPr>
                <w:sz w:val="18"/>
                <w:szCs w:val="18"/>
              </w:rPr>
            </w:pPr>
            <w:r>
              <w:rPr>
                <w:sz w:val="18"/>
                <w:szCs w:val="18"/>
              </w:rPr>
              <w:t xml:space="preserve">Estimation of the total </w:t>
            </w:r>
            <w:r w:rsidR="006E5776">
              <w:rPr>
                <w:sz w:val="18"/>
                <w:szCs w:val="18"/>
              </w:rPr>
              <w:t>surface area of state lands in Nyanza Lac.</w:t>
            </w:r>
          </w:p>
        </w:tc>
      </w:tr>
      <w:tr w:rsidR="0013193F" w14:paraId="2A841BE4" w14:textId="77777777" w:rsidTr="004034D6">
        <w:trPr>
          <w:trHeight w:val="265"/>
        </w:trPr>
        <w:tc>
          <w:tcPr>
            <w:tcW w:w="1271" w:type="dxa"/>
          </w:tcPr>
          <w:p w14:paraId="33060282" w14:textId="72F64909" w:rsidR="0013193F" w:rsidRPr="00F45A84" w:rsidRDefault="0013193F" w:rsidP="00856A71">
            <w:pPr>
              <w:rPr>
                <w:b/>
                <w:bCs/>
              </w:rPr>
            </w:pPr>
            <w:r w:rsidRPr="00F45A84">
              <w:rPr>
                <w:b/>
                <w:bCs/>
              </w:rPr>
              <w:lastRenderedPageBreak/>
              <w:t>Output 1.5</w:t>
            </w:r>
          </w:p>
        </w:tc>
        <w:tc>
          <w:tcPr>
            <w:tcW w:w="2410" w:type="dxa"/>
          </w:tcPr>
          <w:p w14:paraId="055BA630" w14:textId="576E0CFE" w:rsidR="0013193F" w:rsidRDefault="0013193F" w:rsidP="00856A71">
            <w:r w:rsidRPr="006E309C">
              <w:rPr>
                <w:sz w:val="18"/>
                <w:szCs w:val="18"/>
              </w:rPr>
              <w:t>Effective delivery of land related services in a non-discriminatory manner</w:t>
            </w:r>
          </w:p>
        </w:tc>
        <w:tc>
          <w:tcPr>
            <w:tcW w:w="5812" w:type="dxa"/>
          </w:tcPr>
          <w:p w14:paraId="33F5419E" w14:textId="77777777" w:rsidR="0013193F" w:rsidRDefault="0013193F" w:rsidP="00856A71">
            <w:pPr>
              <w:pStyle w:val="NoSpacing"/>
              <w:spacing w:line="276" w:lineRule="auto"/>
              <w:rPr>
                <w:sz w:val="18"/>
                <w:szCs w:val="18"/>
              </w:rPr>
            </w:pPr>
            <w:r w:rsidRPr="006E309C">
              <w:rPr>
                <w:sz w:val="18"/>
                <w:szCs w:val="18"/>
              </w:rPr>
              <w:t>% of land certificates applied for by landowners in relation to the number of land certificates registered by the SFC.</w:t>
            </w:r>
          </w:p>
          <w:p w14:paraId="62E31FF7" w14:textId="77777777" w:rsidR="0013193F" w:rsidRDefault="0013193F" w:rsidP="00856A71">
            <w:pPr>
              <w:pStyle w:val="NoSpacing"/>
              <w:spacing w:line="276" w:lineRule="auto"/>
              <w:rPr>
                <w:sz w:val="18"/>
                <w:szCs w:val="18"/>
              </w:rPr>
            </w:pPr>
          </w:p>
          <w:p w14:paraId="3E4E3134" w14:textId="77777777" w:rsidR="0013193F" w:rsidRPr="006E309C" w:rsidRDefault="0013193F" w:rsidP="00856A71">
            <w:pPr>
              <w:pStyle w:val="NoSpacing"/>
              <w:spacing w:line="276" w:lineRule="auto"/>
              <w:rPr>
                <w:sz w:val="18"/>
                <w:szCs w:val="18"/>
              </w:rPr>
            </w:pPr>
            <w:r w:rsidRPr="006E309C">
              <w:rPr>
                <w:sz w:val="18"/>
                <w:szCs w:val="18"/>
              </w:rPr>
              <w:t>Number of land certificates issued to women, or which mention a woman’s land rights.</w:t>
            </w:r>
          </w:p>
          <w:p w14:paraId="58C27600" w14:textId="77777777" w:rsidR="0013193F" w:rsidRPr="006E309C" w:rsidRDefault="0013193F" w:rsidP="00856A71">
            <w:pPr>
              <w:pStyle w:val="NoSpacing"/>
              <w:spacing w:line="276" w:lineRule="auto"/>
              <w:rPr>
                <w:sz w:val="18"/>
                <w:szCs w:val="18"/>
              </w:rPr>
            </w:pPr>
          </w:p>
          <w:p w14:paraId="089B0DF2" w14:textId="3735BD3C" w:rsidR="0013193F" w:rsidRDefault="0013193F" w:rsidP="00856A71">
            <w:r>
              <w:rPr>
                <w:sz w:val="18"/>
                <w:szCs w:val="18"/>
              </w:rPr>
              <w:t>N</w:t>
            </w:r>
            <w:r w:rsidRPr="006E309C">
              <w:rPr>
                <w:sz w:val="18"/>
                <w:szCs w:val="18"/>
              </w:rPr>
              <w:t xml:space="preserve">umber of land transactions registered by the SFC.                                                          </w:t>
            </w:r>
          </w:p>
        </w:tc>
        <w:tc>
          <w:tcPr>
            <w:tcW w:w="3685" w:type="dxa"/>
            <w:shd w:val="clear" w:color="auto" w:fill="F7CAAC" w:themeFill="accent2" w:themeFillTint="66"/>
          </w:tcPr>
          <w:p w14:paraId="1DBE17A3" w14:textId="77777777" w:rsidR="0013193F" w:rsidRDefault="0013193F" w:rsidP="00856A71">
            <w:pPr>
              <w:rPr>
                <w:sz w:val="18"/>
                <w:szCs w:val="18"/>
              </w:rPr>
            </w:pPr>
          </w:p>
          <w:p w14:paraId="58E075F5" w14:textId="77777777" w:rsidR="00CE4785" w:rsidRDefault="00CE4785" w:rsidP="00856A71">
            <w:pPr>
              <w:rPr>
                <w:sz w:val="18"/>
                <w:szCs w:val="18"/>
              </w:rPr>
            </w:pPr>
          </w:p>
          <w:p w14:paraId="22C0AAE8" w14:textId="77777777" w:rsidR="00CE4785" w:rsidRDefault="00CE4785" w:rsidP="00856A71">
            <w:pPr>
              <w:rPr>
                <w:sz w:val="18"/>
                <w:szCs w:val="18"/>
              </w:rPr>
            </w:pPr>
          </w:p>
          <w:p w14:paraId="52841C1E" w14:textId="292A112B" w:rsidR="00CE4785" w:rsidRPr="00CE4785" w:rsidRDefault="00CE4785" w:rsidP="00CE4785">
            <w:pPr>
              <w:pStyle w:val="CommentText"/>
              <w:rPr>
                <w:i/>
                <w:iCs/>
              </w:rPr>
            </w:pPr>
            <w:r w:rsidRPr="00CE4785">
              <w:rPr>
                <w:i/>
                <w:iCs/>
              </w:rPr>
              <w:t>Try to align with SDG 5.a.1/2.</w:t>
            </w:r>
          </w:p>
          <w:p w14:paraId="3F72B2CA" w14:textId="54695A0D" w:rsidR="00CE4785" w:rsidRPr="00817D48" w:rsidRDefault="00CE4785" w:rsidP="00856A71">
            <w:pPr>
              <w:rPr>
                <w:sz w:val="18"/>
                <w:szCs w:val="18"/>
              </w:rPr>
            </w:pPr>
          </w:p>
        </w:tc>
      </w:tr>
      <w:tr w:rsidR="0013193F" w14:paraId="7BEBCDBE" w14:textId="77777777" w:rsidTr="004034D6">
        <w:trPr>
          <w:trHeight w:val="250"/>
        </w:trPr>
        <w:tc>
          <w:tcPr>
            <w:tcW w:w="1271" w:type="dxa"/>
          </w:tcPr>
          <w:p w14:paraId="72ABFF1A" w14:textId="1F94016C" w:rsidR="0013193F" w:rsidRPr="00F45A84" w:rsidRDefault="0013193F" w:rsidP="00856A71">
            <w:pPr>
              <w:rPr>
                <w:b/>
                <w:bCs/>
              </w:rPr>
            </w:pPr>
            <w:r w:rsidRPr="00F45A84">
              <w:rPr>
                <w:b/>
                <w:bCs/>
              </w:rPr>
              <w:t>Outcome 2</w:t>
            </w:r>
          </w:p>
        </w:tc>
        <w:tc>
          <w:tcPr>
            <w:tcW w:w="2410" w:type="dxa"/>
          </w:tcPr>
          <w:p w14:paraId="4B6675FD" w14:textId="23A97B78" w:rsidR="0013193F" w:rsidRDefault="0013193F" w:rsidP="00856A71">
            <w:r w:rsidRPr="006E309C">
              <w:rPr>
                <w:b/>
                <w:sz w:val="18"/>
                <w:szCs w:val="18"/>
              </w:rPr>
              <w:t>Local land conflict resolution mechanisms are effectively resolving land conflicts in Nyanza Lac</w:t>
            </w:r>
          </w:p>
        </w:tc>
        <w:tc>
          <w:tcPr>
            <w:tcW w:w="5812" w:type="dxa"/>
          </w:tcPr>
          <w:p w14:paraId="37F267D0" w14:textId="77777777" w:rsidR="0013193F" w:rsidRDefault="0013193F" w:rsidP="00856A71">
            <w:pPr>
              <w:pStyle w:val="NoSpacing"/>
              <w:spacing w:line="276" w:lineRule="auto"/>
              <w:rPr>
                <w:sz w:val="18"/>
                <w:szCs w:val="18"/>
              </w:rPr>
            </w:pPr>
            <w:r w:rsidRPr="006E309C">
              <w:rPr>
                <w:sz w:val="18"/>
                <w:szCs w:val="18"/>
              </w:rPr>
              <w:t>Number of land related conflicts identified during the land certification process (per category: e.g., cases of physical violence and verbal harassment)</w:t>
            </w:r>
            <w:r>
              <w:rPr>
                <w:sz w:val="18"/>
                <w:szCs w:val="18"/>
              </w:rPr>
              <w:br/>
            </w:r>
            <w:r>
              <w:rPr>
                <w:sz w:val="18"/>
                <w:szCs w:val="18"/>
              </w:rPr>
              <w:br/>
            </w:r>
            <w:r w:rsidRPr="00AD0286">
              <w:rPr>
                <w:sz w:val="18"/>
                <w:szCs w:val="18"/>
              </w:rPr>
              <w:t>Number of beneficiaries (f/m) with access to justice</w:t>
            </w:r>
          </w:p>
          <w:p w14:paraId="69855965" w14:textId="77777777" w:rsidR="0013193F" w:rsidRDefault="0013193F" w:rsidP="00856A71">
            <w:pPr>
              <w:pStyle w:val="NoSpacing"/>
              <w:spacing w:line="276" w:lineRule="auto"/>
              <w:rPr>
                <w:sz w:val="18"/>
                <w:szCs w:val="18"/>
              </w:rPr>
            </w:pPr>
          </w:p>
          <w:p w14:paraId="3BC378CB" w14:textId="77777777" w:rsidR="0013193F" w:rsidRDefault="0013193F" w:rsidP="00856A71">
            <w:pPr>
              <w:pStyle w:val="NoSpacing"/>
              <w:spacing w:line="276" w:lineRule="auto"/>
              <w:rPr>
                <w:rFonts w:eastAsia="Calibri" w:cs="Arial"/>
                <w:sz w:val="18"/>
                <w:szCs w:val="18"/>
              </w:rPr>
            </w:pPr>
            <w:r w:rsidRPr="006E309C">
              <w:rPr>
                <w:sz w:val="18"/>
                <w:szCs w:val="18"/>
              </w:rPr>
              <w:t>Number of people having accessed local land conflict resolution mechanisms (CRC) for the resolution of their land conflicts (m/f/y).</w:t>
            </w:r>
            <w:r>
              <w:rPr>
                <w:sz w:val="18"/>
                <w:szCs w:val="18"/>
              </w:rPr>
              <w:br/>
            </w:r>
            <w:r>
              <w:rPr>
                <w:sz w:val="18"/>
                <w:szCs w:val="18"/>
              </w:rPr>
              <w:br/>
            </w:r>
            <w:r w:rsidRPr="006E309C">
              <w:rPr>
                <w:sz w:val="18"/>
                <w:szCs w:val="18"/>
              </w:rPr>
              <w:t>Number of land conflicts that were resolved through mediation by local land conflict resolution mechanisms.</w:t>
            </w:r>
            <w:r>
              <w:rPr>
                <w:sz w:val="18"/>
                <w:szCs w:val="18"/>
              </w:rPr>
              <w:br/>
            </w:r>
            <w:r>
              <w:rPr>
                <w:sz w:val="18"/>
                <w:szCs w:val="18"/>
              </w:rPr>
              <w:br/>
            </w:r>
            <w:r w:rsidRPr="006E309C">
              <w:rPr>
                <w:rFonts w:eastAsia="Calibri" w:cs="Arial"/>
                <w:sz w:val="18"/>
                <w:szCs w:val="18"/>
              </w:rPr>
              <w:t>Perception of legitimacy of CRCs/peace committees among the population</w:t>
            </w:r>
          </w:p>
          <w:p w14:paraId="54FDDC4F" w14:textId="77777777" w:rsidR="0013193F" w:rsidRDefault="0013193F" w:rsidP="00856A71">
            <w:pPr>
              <w:pStyle w:val="NoSpacing"/>
              <w:spacing w:line="276" w:lineRule="auto"/>
              <w:rPr>
                <w:sz w:val="18"/>
                <w:szCs w:val="18"/>
              </w:rPr>
            </w:pPr>
          </w:p>
          <w:p w14:paraId="34C95A54" w14:textId="29F9B75D" w:rsidR="0013193F" w:rsidRDefault="0013193F" w:rsidP="00856A71">
            <w:r w:rsidRPr="00AD0286">
              <w:rPr>
                <w:sz w:val="18"/>
                <w:szCs w:val="18"/>
              </w:rPr>
              <w:t>Number of (formal/informal) justice institutions strengthened in terms of fairness, effectiveness, accountability or independence</w:t>
            </w:r>
          </w:p>
        </w:tc>
        <w:tc>
          <w:tcPr>
            <w:tcW w:w="3685" w:type="dxa"/>
            <w:shd w:val="clear" w:color="auto" w:fill="F7CAAC" w:themeFill="accent2" w:themeFillTint="66"/>
          </w:tcPr>
          <w:p w14:paraId="21130F6A" w14:textId="08EFBF57" w:rsidR="005E20AD" w:rsidRPr="0062061D" w:rsidRDefault="005E20AD" w:rsidP="00856A71">
            <w:pPr>
              <w:rPr>
                <w:i/>
                <w:iCs/>
                <w:sz w:val="18"/>
                <w:szCs w:val="18"/>
              </w:rPr>
            </w:pPr>
            <w:r w:rsidRPr="00FE7EA3">
              <w:rPr>
                <w:i/>
                <w:iCs/>
                <w:sz w:val="18"/>
                <w:szCs w:val="18"/>
              </w:rPr>
              <w:t>Conflict analysis / mapping for the district of Nyanza Lac</w:t>
            </w:r>
            <w:r w:rsidR="00FE2BDA">
              <w:rPr>
                <w:i/>
                <w:iCs/>
                <w:sz w:val="18"/>
                <w:szCs w:val="18"/>
              </w:rPr>
              <w:t xml:space="preserve"> will be carried out by MIPAREC</w:t>
            </w:r>
            <w:r w:rsidRPr="00FE7EA3">
              <w:rPr>
                <w:i/>
                <w:iCs/>
                <w:sz w:val="18"/>
                <w:szCs w:val="18"/>
              </w:rPr>
              <w:t xml:space="preserve">. </w:t>
            </w:r>
          </w:p>
          <w:p w14:paraId="58EDECE9" w14:textId="77777777" w:rsidR="00412538" w:rsidRDefault="00412538" w:rsidP="00856A71">
            <w:pPr>
              <w:rPr>
                <w:sz w:val="18"/>
                <w:szCs w:val="18"/>
              </w:rPr>
            </w:pPr>
          </w:p>
          <w:p w14:paraId="29513508" w14:textId="5B95A669" w:rsidR="0062061D" w:rsidRDefault="0062061D" w:rsidP="00856A71">
            <w:pPr>
              <w:rPr>
                <w:sz w:val="18"/>
                <w:szCs w:val="18"/>
              </w:rPr>
            </w:pPr>
            <w:r>
              <w:rPr>
                <w:sz w:val="18"/>
                <w:szCs w:val="18"/>
              </w:rPr>
              <w:t xml:space="preserve">Assessment of the accessibility of justice for the population of Nyanza Lac, in particular for vulnerable groups.  </w:t>
            </w:r>
          </w:p>
          <w:p w14:paraId="72126B09" w14:textId="77777777" w:rsidR="0062061D" w:rsidRDefault="0062061D" w:rsidP="00856A71">
            <w:pPr>
              <w:rPr>
                <w:sz w:val="18"/>
                <w:szCs w:val="18"/>
              </w:rPr>
            </w:pPr>
          </w:p>
          <w:p w14:paraId="78D3AE91" w14:textId="2B6C3AA4" w:rsidR="008845A9" w:rsidRDefault="005E20AD" w:rsidP="00856A71">
            <w:pPr>
              <w:rPr>
                <w:sz w:val="20"/>
                <w:szCs w:val="20"/>
              </w:rPr>
            </w:pPr>
            <w:r>
              <w:rPr>
                <w:sz w:val="18"/>
                <w:szCs w:val="18"/>
              </w:rPr>
              <w:t>Mapping of</w:t>
            </w:r>
            <w:r w:rsidR="00412538">
              <w:rPr>
                <w:sz w:val="18"/>
                <w:szCs w:val="18"/>
              </w:rPr>
              <w:t xml:space="preserve"> existing</w:t>
            </w:r>
            <w:r>
              <w:rPr>
                <w:sz w:val="18"/>
                <w:szCs w:val="18"/>
              </w:rPr>
              <w:t xml:space="preserve"> local land conflict resolution </w:t>
            </w:r>
            <w:r w:rsidRPr="00FD76BE">
              <w:rPr>
                <w:sz w:val="18"/>
                <w:szCs w:val="18"/>
              </w:rPr>
              <w:t>mechanisms</w:t>
            </w:r>
            <w:r w:rsidR="00FD76BE" w:rsidRPr="00FD76BE">
              <w:rPr>
                <w:sz w:val="18"/>
                <w:szCs w:val="18"/>
              </w:rPr>
              <w:t xml:space="preserve"> including an a</w:t>
            </w:r>
            <w:r w:rsidR="008845A9" w:rsidRPr="00FD76BE">
              <w:rPr>
                <w:sz w:val="18"/>
                <w:szCs w:val="18"/>
              </w:rPr>
              <w:t>ssessment of the perception</w:t>
            </w:r>
            <w:r w:rsidR="00BD1E6E">
              <w:rPr>
                <w:sz w:val="18"/>
                <w:szCs w:val="18"/>
              </w:rPr>
              <w:t xml:space="preserve"> of the population</w:t>
            </w:r>
            <w:r w:rsidR="008845A9" w:rsidRPr="00FD76BE">
              <w:rPr>
                <w:sz w:val="18"/>
                <w:szCs w:val="18"/>
              </w:rPr>
              <w:t xml:space="preserve"> of legitimacy </w:t>
            </w:r>
            <w:r w:rsidR="00FD76BE" w:rsidRPr="00FD76BE">
              <w:rPr>
                <w:sz w:val="18"/>
                <w:szCs w:val="18"/>
              </w:rPr>
              <w:t>of those structures.</w:t>
            </w:r>
            <w:r w:rsidR="00FD76BE" w:rsidRPr="00FD76BE">
              <w:rPr>
                <w:sz w:val="20"/>
                <w:szCs w:val="20"/>
              </w:rPr>
              <w:t xml:space="preserve"> </w:t>
            </w:r>
          </w:p>
          <w:p w14:paraId="5C23148D" w14:textId="77777777" w:rsidR="001318A6" w:rsidRDefault="001318A6" w:rsidP="00856A71">
            <w:pPr>
              <w:rPr>
                <w:sz w:val="20"/>
                <w:szCs w:val="20"/>
              </w:rPr>
            </w:pPr>
          </w:p>
          <w:p w14:paraId="1D0DFB64" w14:textId="77777777" w:rsidR="00412538" w:rsidRDefault="00412538" w:rsidP="00856A71">
            <w:pPr>
              <w:rPr>
                <w:sz w:val="18"/>
                <w:szCs w:val="18"/>
              </w:rPr>
            </w:pPr>
          </w:p>
          <w:p w14:paraId="7A743FDD" w14:textId="77777777" w:rsidR="00412538" w:rsidRDefault="00412538" w:rsidP="00856A71">
            <w:pPr>
              <w:rPr>
                <w:sz w:val="18"/>
                <w:szCs w:val="18"/>
              </w:rPr>
            </w:pPr>
          </w:p>
          <w:p w14:paraId="4C2B496F" w14:textId="77777777" w:rsidR="00412538" w:rsidRDefault="00412538" w:rsidP="00856A71">
            <w:pPr>
              <w:rPr>
                <w:sz w:val="18"/>
                <w:szCs w:val="18"/>
              </w:rPr>
            </w:pPr>
          </w:p>
          <w:p w14:paraId="43EF37E0" w14:textId="77777777" w:rsidR="00412538" w:rsidRDefault="00412538" w:rsidP="00856A71">
            <w:pPr>
              <w:rPr>
                <w:sz w:val="18"/>
                <w:szCs w:val="18"/>
              </w:rPr>
            </w:pPr>
          </w:p>
          <w:p w14:paraId="2B9B262D" w14:textId="60414B36" w:rsidR="00BD1E6E" w:rsidRPr="00FD76BE" w:rsidRDefault="00BD1E6E" w:rsidP="00856A71">
            <w:pPr>
              <w:rPr>
                <w:sz w:val="18"/>
                <w:szCs w:val="18"/>
              </w:rPr>
            </w:pPr>
            <w:r>
              <w:rPr>
                <w:sz w:val="18"/>
                <w:szCs w:val="18"/>
              </w:rPr>
              <w:t>Identification of formal and informal justice institutions</w:t>
            </w:r>
            <w:r w:rsidR="00D01DE3">
              <w:rPr>
                <w:sz w:val="18"/>
                <w:szCs w:val="18"/>
              </w:rPr>
              <w:t xml:space="preserve"> existing in Makamba / Nyanza Lac. </w:t>
            </w:r>
          </w:p>
        </w:tc>
      </w:tr>
      <w:tr w:rsidR="0013193F" w14:paraId="75DBF392" w14:textId="77777777" w:rsidTr="004034D6">
        <w:trPr>
          <w:trHeight w:val="265"/>
        </w:trPr>
        <w:tc>
          <w:tcPr>
            <w:tcW w:w="1271" w:type="dxa"/>
          </w:tcPr>
          <w:p w14:paraId="7B2F4309" w14:textId="0ED903FD" w:rsidR="0013193F" w:rsidRPr="00F45A84" w:rsidRDefault="0013193F" w:rsidP="001C2D4B">
            <w:pPr>
              <w:rPr>
                <w:b/>
                <w:bCs/>
              </w:rPr>
            </w:pPr>
            <w:r w:rsidRPr="00F45A84">
              <w:rPr>
                <w:b/>
                <w:bCs/>
              </w:rPr>
              <w:t>Output 2.1</w:t>
            </w:r>
          </w:p>
        </w:tc>
        <w:tc>
          <w:tcPr>
            <w:tcW w:w="2410" w:type="dxa"/>
          </w:tcPr>
          <w:p w14:paraId="5F2BA78E" w14:textId="2971B883" w:rsidR="0013193F" w:rsidRDefault="0013193F" w:rsidP="001C2D4B">
            <w:r w:rsidRPr="006E309C">
              <w:rPr>
                <w:sz w:val="18"/>
                <w:szCs w:val="18"/>
              </w:rPr>
              <w:t>CRC, judges, paralegals, and peace committees have strengthened capacities on LTR, land conflict resolution and the protection of women’s land rights</w:t>
            </w:r>
          </w:p>
        </w:tc>
        <w:tc>
          <w:tcPr>
            <w:tcW w:w="5812" w:type="dxa"/>
          </w:tcPr>
          <w:p w14:paraId="0AC0371C" w14:textId="77777777" w:rsidR="0013193F" w:rsidRPr="006E309C" w:rsidRDefault="0013193F" w:rsidP="001C2D4B">
            <w:pPr>
              <w:pStyle w:val="NoSpacing"/>
              <w:spacing w:line="276" w:lineRule="auto"/>
              <w:rPr>
                <w:sz w:val="18"/>
                <w:szCs w:val="18"/>
              </w:rPr>
            </w:pPr>
            <w:r w:rsidRPr="006E309C">
              <w:rPr>
                <w:sz w:val="18"/>
                <w:szCs w:val="18"/>
              </w:rPr>
              <w:t>Perception of land related capacities of these actors among the population</w:t>
            </w:r>
          </w:p>
          <w:p w14:paraId="0B0EE586" w14:textId="77777777" w:rsidR="0013193F" w:rsidRDefault="0013193F" w:rsidP="001C2D4B">
            <w:pPr>
              <w:pStyle w:val="NoSpacing"/>
              <w:spacing w:line="276" w:lineRule="auto"/>
              <w:rPr>
                <w:rFonts w:eastAsia="Calibri" w:cs="Arial"/>
                <w:sz w:val="18"/>
                <w:szCs w:val="18"/>
              </w:rPr>
            </w:pPr>
            <w:r>
              <w:rPr>
                <w:sz w:val="18"/>
                <w:szCs w:val="18"/>
              </w:rPr>
              <w:br/>
            </w:r>
            <w:r w:rsidRPr="006E309C">
              <w:rPr>
                <w:sz w:val="18"/>
                <w:szCs w:val="18"/>
              </w:rPr>
              <w:t>Increased knowledge/awareness of these actors on land law / SFC / legality of land certificates, etc</w:t>
            </w:r>
            <w:r w:rsidRPr="006E309C">
              <w:rPr>
                <w:rFonts w:eastAsia="Calibri" w:cs="Arial"/>
                <w:sz w:val="18"/>
                <w:szCs w:val="18"/>
              </w:rPr>
              <w:t>.</w:t>
            </w:r>
          </w:p>
          <w:p w14:paraId="5587E992" w14:textId="77777777" w:rsidR="0013193F" w:rsidRDefault="0013193F" w:rsidP="001C2D4B">
            <w:pPr>
              <w:pStyle w:val="NoSpacing"/>
              <w:spacing w:line="276" w:lineRule="auto"/>
              <w:rPr>
                <w:sz w:val="18"/>
                <w:szCs w:val="18"/>
              </w:rPr>
            </w:pPr>
          </w:p>
          <w:p w14:paraId="5A18601A" w14:textId="77777777" w:rsidR="0013193F" w:rsidRPr="00AD0286" w:rsidRDefault="0013193F" w:rsidP="001C2D4B">
            <w:pPr>
              <w:pStyle w:val="NoSpacing"/>
              <w:spacing w:line="276" w:lineRule="auto"/>
              <w:rPr>
                <w:sz w:val="18"/>
                <w:szCs w:val="18"/>
              </w:rPr>
            </w:pPr>
            <w:r w:rsidRPr="00AD0286">
              <w:rPr>
                <w:sz w:val="18"/>
                <w:szCs w:val="18"/>
              </w:rPr>
              <w:t>Number of people (f/m) trained in conflict resolution skills</w:t>
            </w:r>
          </w:p>
          <w:p w14:paraId="742BAC05" w14:textId="77777777" w:rsidR="0013193F" w:rsidRPr="00AF54FF" w:rsidRDefault="0013193F" w:rsidP="001C2D4B">
            <w:pPr>
              <w:pStyle w:val="NoSpacing"/>
              <w:spacing w:line="276" w:lineRule="auto"/>
              <w:rPr>
                <w:color w:val="ED7D31" w:themeColor="accent2"/>
                <w:sz w:val="18"/>
                <w:szCs w:val="18"/>
              </w:rPr>
            </w:pPr>
          </w:p>
          <w:p w14:paraId="28C7D305" w14:textId="4A732F35" w:rsidR="0013193F" w:rsidRDefault="0013193F" w:rsidP="001C2D4B">
            <w:r w:rsidRPr="00AD0286">
              <w:rPr>
                <w:rFonts w:eastAsia="Calibri" w:cs="Arial"/>
                <w:sz w:val="18"/>
                <w:szCs w:val="18"/>
              </w:rPr>
              <w:t>Number of individuals with strengthened competencies to advance women’s rights and gender equality</w:t>
            </w:r>
          </w:p>
        </w:tc>
        <w:tc>
          <w:tcPr>
            <w:tcW w:w="3685" w:type="dxa"/>
            <w:shd w:val="clear" w:color="auto" w:fill="F7CAAC" w:themeFill="accent2" w:themeFillTint="66"/>
          </w:tcPr>
          <w:p w14:paraId="141C7D47" w14:textId="77777777" w:rsidR="00653B23" w:rsidRDefault="00653B23" w:rsidP="001C2D4B">
            <w:pPr>
              <w:rPr>
                <w:sz w:val="18"/>
                <w:szCs w:val="18"/>
              </w:rPr>
            </w:pPr>
            <w:r w:rsidRPr="00D01DE3">
              <w:rPr>
                <w:sz w:val="18"/>
                <w:szCs w:val="18"/>
              </w:rPr>
              <w:t xml:space="preserve">Identification of relevant actors </w:t>
            </w:r>
          </w:p>
          <w:p w14:paraId="00BB1661" w14:textId="145F118E" w:rsidR="00653B23" w:rsidRDefault="00BD3317" w:rsidP="001C2D4B">
            <w:pPr>
              <w:rPr>
                <w:sz w:val="18"/>
                <w:szCs w:val="18"/>
              </w:rPr>
            </w:pPr>
            <w:r>
              <w:rPr>
                <w:sz w:val="18"/>
                <w:szCs w:val="18"/>
              </w:rPr>
              <w:t xml:space="preserve">Assessment of the perception of the population on </w:t>
            </w:r>
            <w:r w:rsidR="00E02E76">
              <w:rPr>
                <w:sz w:val="18"/>
                <w:szCs w:val="18"/>
              </w:rPr>
              <w:t>land related capacities of CRC (not yet installed), peace committees</w:t>
            </w:r>
            <w:r w:rsidR="006821EB">
              <w:rPr>
                <w:sz w:val="18"/>
                <w:szCs w:val="18"/>
              </w:rPr>
              <w:t>, judges, paralegals.</w:t>
            </w:r>
          </w:p>
          <w:p w14:paraId="258D7E3F" w14:textId="3441D2AB" w:rsidR="00BD3317" w:rsidRDefault="006821EB" w:rsidP="001C2D4B">
            <w:pPr>
              <w:rPr>
                <w:sz w:val="18"/>
                <w:szCs w:val="18"/>
              </w:rPr>
            </w:pPr>
            <w:r>
              <w:rPr>
                <w:sz w:val="18"/>
                <w:szCs w:val="18"/>
              </w:rPr>
              <w:t>Assessment of the knowledge level of these actors</w:t>
            </w:r>
            <w:r w:rsidR="00653B23">
              <w:rPr>
                <w:sz w:val="18"/>
                <w:szCs w:val="18"/>
              </w:rPr>
              <w:t xml:space="preserve"> on land law/SFC/certification etc.</w:t>
            </w:r>
          </w:p>
          <w:p w14:paraId="33225ADA" w14:textId="77777777" w:rsidR="00BD3317" w:rsidRDefault="00BD3317" w:rsidP="001C2D4B">
            <w:pPr>
              <w:rPr>
                <w:sz w:val="18"/>
                <w:szCs w:val="18"/>
              </w:rPr>
            </w:pPr>
          </w:p>
          <w:p w14:paraId="14F737E4" w14:textId="76522B74" w:rsidR="0013193F" w:rsidRPr="00BD3317" w:rsidRDefault="0013193F" w:rsidP="001C2D4B">
            <w:pPr>
              <w:rPr>
                <w:sz w:val="18"/>
                <w:szCs w:val="18"/>
              </w:rPr>
            </w:pPr>
          </w:p>
        </w:tc>
      </w:tr>
      <w:tr w:rsidR="0013193F" w14:paraId="721D106F" w14:textId="77777777" w:rsidTr="004034D6">
        <w:trPr>
          <w:trHeight w:val="250"/>
        </w:trPr>
        <w:tc>
          <w:tcPr>
            <w:tcW w:w="1271" w:type="dxa"/>
          </w:tcPr>
          <w:p w14:paraId="0788EA5D" w14:textId="6F2FF697" w:rsidR="0013193F" w:rsidRPr="00F45A84" w:rsidRDefault="0013193F" w:rsidP="001C2D4B">
            <w:pPr>
              <w:rPr>
                <w:b/>
                <w:bCs/>
              </w:rPr>
            </w:pPr>
            <w:r w:rsidRPr="00F45A84">
              <w:rPr>
                <w:b/>
                <w:bCs/>
              </w:rPr>
              <w:t>Output 2.2</w:t>
            </w:r>
          </w:p>
        </w:tc>
        <w:tc>
          <w:tcPr>
            <w:tcW w:w="2410" w:type="dxa"/>
          </w:tcPr>
          <w:p w14:paraId="2A93B06E" w14:textId="3FE6D39A" w:rsidR="0013193F" w:rsidRDefault="0013193F" w:rsidP="001C2D4B">
            <w:r w:rsidRPr="006E309C">
              <w:rPr>
                <w:sz w:val="18"/>
                <w:szCs w:val="18"/>
              </w:rPr>
              <w:t xml:space="preserve">Alternative dispute resolution mechanisms are recognized by formal actors and improved access to justice on land issues for the most </w:t>
            </w:r>
            <w:r w:rsidRPr="006E309C">
              <w:rPr>
                <w:sz w:val="18"/>
                <w:szCs w:val="18"/>
              </w:rPr>
              <w:lastRenderedPageBreak/>
              <w:t>vulnerable of Nyanza Lac is facilitated [link with Cordaid]</w:t>
            </w:r>
          </w:p>
        </w:tc>
        <w:tc>
          <w:tcPr>
            <w:tcW w:w="5812" w:type="dxa"/>
          </w:tcPr>
          <w:p w14:paraId="1550A280" w14:textId="77777777" w:rsidR="0013193F" w:rsidRPr="006E309C" w:rsidRDefault="0013193F" w:rsidP="001C2D4B">
            <w:pPr>
              <w:pStyle w:val="NoSpacing"/>
              <w:spacing w:line="276" w:lineRule="auto"/>
              <w:rPr>
                <w:sz w:val="18"/>
                <w:szCs w:val="18"/>
              </w:rPr>
            </w:pPr>
            <w:r w:rsidRPr="006E309C">
              <w:rPr>
                <w:sz w:val="18"/>
                <w:szCs w:val="18"/>
              </w:rPr>
              <w:lastRenderedPageBreak/>
              <w:t xml:space="preserve">Verbal or written endorsements of </w:t>
            </w:r>
            <w:r>
              <w:rPr>
                <w:sz w:val="18"/>
                <w:szCs w:val="18"/>
              </w:rPr>
              <w:t xml:space="preserve">alternative dispute resolution </w:t>
            </w:r>
            <w:r w:rsidRPr="006E309C">
              <w:rPr>
                <w:sz w:val="18"/>
                <w:szCs w:val="18"/>
              </w:rPr>
              <w:t>structures by formal justice actors</w:t>
            </w:r>
          </w:p>
          <w:p w14:paraId="5176BD06" w14:textId="77777777" w:rsidR="0013193F" w:rsidRPr="006E309C" w:rsidRDefault="0013193F" w:rsidP="001C2D4B">
            <w:pPr>
              <w:pStyle w:val="NoSpacing"/>
              <w:spacing w:line="276" w:lineRule="auto"/>
              <w:rPr>
                <w:sz w:val="18"/>
                <w:szCs w:val="18"/>
              </w:rPr>
            </w:pPr>
            <w:r>
              <w:rPr>
                <w:sz w:val="18"/>
                <w:szCs w:val="18"/>
              </w:rPr>
              <w:br/>
            </w:r>
            <w:r w:rsidRPr="006E309C">
              <w:rPr>
                <w:sz w:val="18"/>
                <w:szCs w:val="18"/>
              </w:rPr>
              <w:t>% of the population (f/m/y) that know how to access justice mechanisms, have easy access to it,  and feel comfortable to do so</w:t>
            </w:r>
          </w:p>
          <w:p w14:paraId="7EE4253D" w14:textId="533E75AE" w:rsidR="0013193F" w:rsidRDefault="0013193F" w:rsidP="001C2D4B">
            <w:r>
              <w:rPr>
                <w:rFonts w:eastAsia="Calibri" w:cs="Arial"/>
                <w:sz w:val="18"/>
                <w:szCs w:val="18"/>
              </w:rPr>
              <w:lastRenderedPageBreak/>
              <w:br/>
            </w:r>
            <w:r w:rsidRPr="006E309C">
              <w:rPr>
                <w:rFonts w:eastAsia="Calibri" w:cs="Arial"/>
                <w:sz w:val="18"/>
                <w:szCs w:val="18"/>
              </w:rPr>
              <w:t>% case referrals by CRCs (relative to all the cases the CRCs take up) to land conflict resolution structures including courts</w:t>
            </w:r>
          </w:p>
        </w:tc>
        <w:tc>
          <w:tcPr>
            <w:tcW w:w="3685" w:type="dxa"/>
            <w:shd w:val="clear" w:color="auto" w:fill="F7CAAC" w:themeFill="accent2" w:themeFillTint="66"/>
          </w:tcPr>
          <w:p w14:paraId="1175A357" w14:textId="740F28FE" w:rsidR="0013193F" w:rsidRDefault="001D6AD6" w:rsidP="001C2D4B">
            <w:r w:rsidRPr="006223BF">
              <w:rPr>
                <w:sz w:val="18"/>
                <w:szCs w:val="18"/>
              </w:rPr>
              <w:lastRenderedPageBreak/>
              <w:t xml:space="preserve">Identification and assessment of existing mechanisms and status of relationships between different actors (statutory, non-statutory), assessment of status and capacities </w:t>
            </w:r>
            <w:r w:rsidR="006223BF" w:rsidRPr="006223BF">
              <w:rPr>
                <w:sz w:val="18"/>
                <w:szCs w:val="18"/>
              </w:rPr>
              <w:t xml:space="preserve">of Conseil de Notables (newly established structure in Burundi). </w:t>
            </w:r>
          </w:p>
        </w:tc>
      </w:tr>
      <w:tr w:rsidR="0013193F" w14:paraId="281A46DF" w14:textId="77777777" w:rsidTr="004034D6">
        <w:trPr>
          <w:trHeight w:val="265"/>
        </w:trPr>
        <w:tc>
          <w:tcPr>
            <w:tcW w:w="1271" w:type="dxa"/>
          </w:tcPr>
          <w:p w14:paraId="239CFD64" w14:textId="4434A29B" w:rsidR="0013193F" w:rsidRPr="00F45A84" w:rsidRDefault="0013193F" w:rsidP="001C2D4B">
            <w:pPr>
              <w:rPr>
                <w:b/>
                <w:bCs/>
              </w:rPr>
            </w:pPr>
            <w:r w:rsidRPr="00F45A84">
              <w:rPr>
                <w:b/>
                <w:bCs/>
              </w:rPr>
              <w:t>Outcome 3</w:t>
            </w:r>
          </w:p>
        </w:tc>
        <w:tc>
          <w:tcPr>
            <w:tcW w:w="2410" w:type="dxa"/>
          </w:tcPr>
          <w:p w14:paraId="58B1A564" w14:textId="1E3580A2" w:rsidR="0013193F" w:rsidRDefault="0013193F" w:rsidP="001C2D4B">
            <w:r w:rsidRPr="006E309C">
              <w:rPr>
                <w:b/>
                <w:sz w:val="18"/>
                <w:szCs w:val="18"/>
              </w:rPr>
              <w:t>The development of a business case will result in the rollout of financially sustainable and technically functional SFCs around the country.</w:t>
            </w:r>
          </w:p>
        </w:tc>
        <w:tc>
          <w:tcPr>
            <w:tcW w:w="5812" w:type="dxa"/>
          </w:tcPr>
          <w:p w14:paraId="3222D2C8" w14:textId="486D7DC7" w:rsidR="0013193F" w:rsidRDefault="0013193F" w:rsidP="001C2D4B">
            <w:r w:rsidRPr="006E309C">
              <w:rPr>
                <w:sz w:val="18"/>
                <w:szCs w:val="18"/>
              </w:rPr>
              <w:t xml:space="preserve">Number of </w:t>
            </w:r>
            <w:r w:rsidR="0079721A">
              <w:rPr>
                <w:sz w:val="18"/>
                <w:szCs w:val="18"/>
              </w:rPr>
              <w:t>district</w:t>
            </w:r>
            <w:r w:rsidRPr="006E309C">
              <w:rPr>
                <w:sz w:val="18"/>
                <w:szCs w:val="18"/>
              </w:rPr>
              <w:t>s covered or on track to be covered by a functional SFC that have been or are using the business case as basis</w:t>
            </w:r>
            <w:r w:rsidR="00690EEF">
              <w:rPr>
                <w:sz w:val="18"/>
                <w:szCs w:val="18"/>
              </w:rPr>
              <w:t>.</w:t>
            </w:r>
            <w:r w:rsidRPr="006E309C">
              <w:rPr>
                <w:sz w:val="18"/>
                <w:szCs w:val="18"/>
              </w:rPr>
              <w:t xml:space="preserve"> </w:t>
            </w:r>
          </w:p>
        </w:tc>
        <w:tc>
          <w:tcPr>
            <w:tcW w:w="3685" w:type="dxa"/>
            <w:shd w:val="clear" w:color="auto" w:fill="F7CAAC" w:themeFill="accent2" w:themeFillTint="66"/>
          </w:tcPr>
          <w:p w14:paraId="7CFD1A3E" w14:textId="7FB8F9D5" w:rsidR="0013193F" w:rsidRDefault="00914A47" w:rsidP="001C2D4B">
            <w:r>
              <w:rPr>
                <w:sz w:val="18"/>
                <w:szCs w:val="18"/>
              </w:rPr>
              <w:t>A</w:t>
            </w:r>
            <w:r w:rsidR="00FE2BDA">
              <w:rPr>
                <w:sz w:val="18"/>
                <w:szCs w:val="18"/>
              </w:rPr>
              <w:t xml:space="preserve">ssess </w:t>
            </w:r>
            <w:r w:rsidR="00FE2BDA" w:rsidRPr="00FE2BDA">
              <w:rPr>
                <w:sz w:val="18"/>
                <w:szCs w:val="18"/>
              </w:rPr>
              <w:t xml:space="preserve">how </w:t>
            </w:r>
            <w:r>
              <w:rPr>
                <w:sz w:val="18"/>
                <w:szCs w:val="18"/>
              </w:rPr>
              <w:t>the existing SFCs</w:t>
            </w:r>
            <w:r w:rsidR="00FE2BDA" w:rsidRPr="00FE2BDA">
              <w:rPr>
                <w:sz w:val="18"/>
                <w:szCs w:val="18"/>
              </w:rPr>
              <w:t xml:space="preserve"> are operationalized– Their Status – sampling of 20% of existing SFC in and out of A@S area</w:t>
            </w:r>
            <w:r w:rsidR="00905311">
              <w:rPr>
                <w:sz w:val="18"/>
                <w:szCs w:val="18"/>
              </w:rPr>
              <w:t>.</w:t>
            </w:r>
          </w:p>
        </w:tc>
      </w:tr>
      <w:tr w:rsidR="0013193F" w14:paraId="6E94EF99" w14:textId="77777777" w:rsidTr="004034D6">
        <w:trPr>
          <w:trHeight w:val="250"/>
        </w:trPr>
        <w:tc>
          <w:tcPr>
            <w:tcW w:w="1271" w:type="dxa"/>
          </w:tcPr>
          <w:p w14:paraId="3ADA711E" w14:textId="144772EF" w:rsidR="0013193F" w:rsidRPr="00F45A84" w:rsidRDefault="0013193F" w:rsidP="001C2D4B">
            <w:pPr>
              <w:rPr>
                <w:b/>
                <w:bCs/>
              </w:rPr>
            </w:pPr>
            <w:r w:rsidRPr="00F45A84">
              <w:rPr>
                <w:b/>
                <w:bCs/>
              </w:rPr>
              <w:t>Output 3.1</w:t>
            </w:r>
          </w:p>
        </w:tc>
        <w:tc>
          <w:tcPr>
            <w:tcW w:w="2410" w:type="dxa"/>
          </w:tcPr>
          <w:p w14:paraId="69326F67" w14:textId="30F122F7" w:rsidR="0013193F" w:rsidRDefault="0013193F" w:rsidP="001C2D4B">
            <w:r w:rsidRPr="006E309C">
              <w:rPr>
                <w:sz w:val="18"/>
                <w:szCs w:val="18"/>
              </w:rPr>
              <w:t>A model business case for SFCs  is developed</w:t>
            </w:r>
          </w:p>
        </w:tc>
        <w:tc>
          <w:tcPr>
            <w:tcW w:w="5812" w:type="dxa"/>
          </w:tcPr>
          <w:p w14:paraId="2DD73C24" w14:textId="77777777" w:rsidR="0013193F" w:rsidRPr="006E309C" w:rsidRDefault="0013193F" w:rsidP="001C2D4B">
            <w:pPr>
              <w:pStyle w:val="NoSpacing"/>
              <w:spacing w:line="276" w:lineRule="auto"/>
              <w:rPr>
                <w:sz w:val="18"/>
                <w:szCs w:val="18"/>
              </w:rPr>
            </w:pPr>
            <w:r w:rsidRPr="006E309C">
              <w:rPr>
                <w:sz w:val="18"/>
                <w:szCs w:val="18"/>
              </w:rPr>
              <w:t>Validation of  a technical implementation and management manual for communal land services.</w:t>
            </w:r>
          </w:p>
          <w:p w14:paraId="352B05D3" w14:textId="77777777" w:rsidR="0013193F" w:rsidRPr="006E309C" w:rsidRDefault="0013193F" w:rsidP="001C2D4B">
            <w:pPr>
              <w:pStyle w:val="NoSpacing"/>
              <w:spacing w:line="276" w:lineRule="auto"/>
              <w:rPr>
                <w:sz w:val="18"/>
                <w:szCs w:val="18"/>
              </w:rPr>
            </w:pPr>
          </w:p>
          <w:p w14:paraId="4EE8A4A6" w14:textId="4E8B33D6" w:rsidR="0013193F" w:rsidRDefault="0013193F" w:rsidP="001C2D4B">
            <w:r w:rsidRPr="006E309C">
              <w:rPr>
                <w:sz w:val="18"/>
                <w:szCs w:val="18"/>
              </w:rPr>
              <w:t>Development and validation of toolkit for implementing the SFC guidelines.</w:t>
            </w:r>
          </w:p>
        </w:tc>
        <w:tc>
          <w:tcPr>
            <w:tcW w:w="3685" w:type="dxa"/>
            <w:shd w:val="clear" w:color="auto" w:fill="F7CAAC" w:themeFill="accent2" w:themeFillTint="66"/>
          </w:tcPr>
          <w:p w14:paraId="59CC2E0D" w14:textId="1F7458DA" w:rsidR="0013193F" w:rsidRDefault="00920DD8" w:rsidP="001C2D4B">
            <w:pPr>
              <w:rPr>
                <w:sz w:val="18"/>
                <w:szCs w:val="18"/>
              </w:rPr>
            </w:pPr>
            <w:r>
              <w:rPr>
                <w:sz w:val="18"/>
                <w:szCs w:val="18"/>
              </w:rPr>
              <w:t>Legal framework analysis</w:t>
            </w:r>
            <w:r w:rsidR="001B12A1">
              <w:rPr>
                <w:sz w:val="18"/>
                <w:szCs w:val="18"/>
              </w:rPr>
              <w:t xml:space="preserve"> (in collaboration with </w:t>
            </w:r>
            <w:proofErr w:type="spellStart"/>
            <w:r w:rsidR="001B12A1">
              <w:rPr>
                <w:sz w:val="18"/>
                <w:szCs w:val="18"/>
              </w:rPr>
              <w:t>VNGi</w:t>
            </w:r>
            <w:proofErr w:type="spellEnd"/>
            <w:r w:rsidR="001B12A1">
              <w:rPr>
                <w:sz w:val="18"/>
                <w:szCs w:val="18"/>
              </w:rPr>
              <w:t>)</w:t>
            </w:r>
            <w:r w:rsidR="00A33B86">
              <w:rPr>
                <w:sz w:val="18"/>
                <w:szCs w:val="18"/>
              </w:rPr>
              <w:t xml:space="preserve">, assess how district level interacts with the national level and vice versa. </w:t>
            </w:r>
          </w:p>
          <w:p w14:paraId="339A99C7" w14:textId="77777777" w:rsidR="00765923" w:rsidRDefault="00765923" w:rsidP="001C2D4B">
            <w:pPr>
              <w:rPr>
                <w:sz w:val="18"/>
                <w:szCs w:val="18"/>
              </w:rPr>
            </w:pPr>
          </w:p>
          <w:p w14:paraId="4E01532A" w14:textId="05A61FD5" w:rsidR="00765923" w:rsidRPr="00920DD8" w:rsidRDefault="00765923" w:rsidP="001C2D4B">
            <w:pPr>
              <w:rPr>
                <w:sz w:val="18"/>
                <w:szCs w:val="18"/>
              </w:rPr>
            </w:pPr>
          </w:p>
        </w:tc>
      </w:tr>
      <w:tr w:rsidR="0013193F" w14:paraId="2BDE5A4E" w14:textId="77777777" w:rsidTr="004034D6">
        <w:trPr>
          <w:trHeight w:val="265"/>
        </w:trPr>
        <w:tc>
          <w:tcPr>
            <w:tcW w:w="1271" w:type="dxa"/>
          </w:tcPr>
          <w:p w14:paraId="29A8F475" w14:textId="1D535D01" w:rsidR="0013193F" w:rsidRPr="00F45A84" w:rsidRDefault="0013193F" w:rsidP="001C2D4B">
            <w:pPr>
              <w:rPr>
                <w:b/>
                <w:bCs/>
              </w:rPr>
            </w:pPr>
            <w:r w:rsidRPr="00F45A84">
              <w:rPr>
                <w:b/>
                <w:bCs/>
              </w:rPr>
              <w:t>Output 3.2</w:t>
            </w:r>
          </w:p>
        </w:tc>
        <w:tc>
          <w:tcPr>
            <w:tcW w:w="2410" w:type="dxa"/>
          </w:tcPr>
          <w:p w14:paraId="51B6FC27" w14:textId="4D507DD2" w:rsidR="0013193F" w:rsidRDefault="0013193F" w:rsidP="001C2D4B">
            <w:r w:rsidRPr="006E309C">
              <w:rPr>
                <w:sz w:val="18"/>
                <w:szCs w:val="18"/>
              </w:rPr>
              <w:t xml:space="preserve">Development of road map for nation-wide scaling of the SFC model. </w:t>
            </w:r>
          </w:p>
        </w:tc>
        <w:tc>
          <w:tcPr>
            <w:tcW w:w="5812" w:type="dxa"/>
          </w:tcPr>
          <w:p w14:paraId="23F7BC67" w14:textId="77777777" w:rsidR="0013193F" w:rsidRDefault="0013193F" w:rsidP="001C2D4B">
            <w:pPr>
              <w:pStyle w:val="NoSpacing"/>
              <w:spacing w:line="276" w:lineRule="auto"/>
              <w:rPr>
                <w:sz w:val="18"/>
                <w:szCs w:val="18"/>
              </w:rPr>
            </w:pPr>
            <w:r w:rsidRPr="006E309C">
              <w:rPr>
                <w:sz w:val="18"/>
                <w:szCs w:val="18"/>
              </w:rPr>
              <w:t xml:space="preserve">Independently verified and nationally validated road map for nation-wide scaling of the SFC . </w:t>
            </w:r>
          </w:p>
          <w:p w14:paraId="72039075" w14:textId="77777777" w:rsidR="0013193F" w:rsidRDefault="0013193F" w:rsidP="001C2D4B">
            <w:pPr>
              <w:pStyle w:val="NoSpacing"/>
              <w:spacing w:line="276" w:lineRule="auto"/>
              <w:rPr>
                <w:sz w:val="18"/>
                <w:szCs w:val="18"/>
              </w:rPr>
            </w:pPr>
          </w:p>
          <w:p w14:paraId="73F4413A" w14:textId="0DC9DEEE" w:rsidR="0013193F" w:rsidRDefault="0013193F" w:rsidP="001C2D4B">
            <w:r w:rsidRPr="00D605C3">
              <w:rPr>
                <w:sz w:val="18"/>
                <w:szCs w:val="18"/>
              </w:rPr>
              <w:t>Number of inclusive law and policy reform initiatives advanced</w:t>
            </w:r>
            <w:r>
              <w:rPr>
                <w:sz w:val="18"/>
                <w:szCs w:val="18"/>
              </w:rPr>
              <w:t>.</w:t>
            </w:r>
          </w:p>
        </w:tc>
        <w:tc>
          <w:tcPr>
            <w:tcW w:w="3685" w:type="dxa"/>
            <w:shd w:val="clear" w:color="auto" w:fill="F7CAAC" w:themeFill="accent2" w:themeFillTint="66"/>
          </w:tcPr>
          <w:p w14:paraId="7C773ED6" w14:textId="77777777" w:rsidR="0013193F" w:rsidRPr="00920DD8" w:rsidRDefault="0013193F" w:rsidP="001C2D4B">
            <w:pPr>
              <w:rPr>
                <w:sz w:val="18"/>
                <w:szCs w:val="18"/>
              </w:rPr>
            </w:pPr>
          </w:p>
        </w:tc>
      </w:tr>
      <w:tr w:rsidR="0013193F" w14:paraId="65AC18DA" w14:textId="77777777" w:rsidTr="004034D6">
        <w:trPr>
          <w:trHeight w:val="265"/>
        </w:trPr>
        <w:tc>
          <w:tcPr>
            <w:tcW w:w="1271" w:type="dxa"/>
          </w:tcPr>
          <w:p w14:paraId="58D6EF78" w14:textId="067C41AA" w:rsidR="0013193F" w:rsidRPr="00F45A84" w:rsidRDefault="0013193F" w:rsidP="001C2D4B">
            <w:pPr>
              <w:rPr>
                <w:b/>
                <w:bCs/>
              </w:rPr>
            </w:pPr>
            <w:r w:rsidRPr="00F45A84">
              <w:rPr>
                <w:b/>
                <w:bCs/>
              </w:rPr>
              <w:t>Outcome 4</w:t>
            </w:r>
          </w:p>
        </w:tc>
        <w:tc>
          <w:tcPr>
            <w:tcW w:w="2410" w:type="dxa"/>
          </w:tcPr>
          <w:p w14:paraId="48ADA98E" w14:textId="1479FED8" w:rsidR="0013193F" w:rsidRDefault="0013193F" w:rsidP="001C2D4B">
            <w:r w:rsidRPr="006E309C">
              <w:rPr>
                <w:b/>
                <w:sz w:val="18"/>
                <w:szCs w:val="18"/>
              </w:rPr>
              <w:t xml:space="preserve">Enhanced cooperation on land governance between (inter)national NGOs, CSOs and knowledge  institutes as well as with governmental </w:t>
            </w:r>
            <w:proofErr w:type="spellStart"/>
            <w:r w:rsidRPr="006E309C">
              <w:rPr>
                <w:b/>
                <w:sz w:val="18"/>
                <w:szCs w:val="18"/>
              </w:rPr>
              <w:t>organisations</w:t>
            </w:r>
            <w:proofErr w:type="spellEnd"/>
            <w:r w:rsidRPr="006E309C" w:rsidDel="00A712C6">
              <w:rPr>
                <w:b/>
                <w:sz w:val="18"/>
                <w:szCs w:val="18"/>
              </w:rPr>
              <w:t xml:space="preserve"> </w:t>
            </w:r>
          </w:p>
        </w:tc>
        <w:tc>
          <w:tcPr>
            <w:tcW w:w="5812" w:type="dxa"/>
          </w:tcPr>
          <w:p w14:paraId="273268A8" w14:textId="4E6389AE" w:rsidR="0013193F" w:rsidRDefault="0013193F" w:rsidP="001C2D4B">
            <w:pPr>
              <w:pStyle w:val="NoSpacing"/>
              <w:spacing w:line="276" w:lineRule="auto"/>
              <w:rPr>
                <w:sz w:val="18"/>
                <w:szCs w:val="18"/>
              </w:rPr>
            </w:pPr>
            <w:r w:rsidRPr="006E309C">
              <w:rPr>
                <w:sz w:val="18"/>
                <w:szCs w:val="18"/>
              </w:rPr>
              <w:t>Number of jointly identified &amp; addressed legal or technical barriers for SFC to address land tenure and land fragmentation issues.</w:t>
            </w:r>
          </w:p>
          <w:p w14:paraId="5BA5A59C" w14:textId="77777777" w:rsidR="00CE0F48" w:rsidRPr="006E309C" w:rsidRDefault="00CE0F48" w:rsidP="001C2D4B">
            <w:pPr>
              <w:pStyle w:val="NoSpacing"/>
              <w:spacing w:line="276" w:lineRule="auto"/>
              <w:rPr>
                <w:sz w:val="18"/>
                <w:szCs w:val="18"/>
              </w:rPr>
            </w:pPr>
          </w:p>
          <w:p w14:paraId="53E5B3BF" w14:textId="64633E8D" w:rsidR="0013193F" w:rsidRDefault="0013193F" w:rsidP="001C2D4B">
            <w:pPr>
              <w:pStyle w:val="NoSpacing"/>
              <w:spacing w:line="276" w:lineRule="auto"/>
              <w:rPr>
                <w:rFonts w:eastAsia="Calibri" w:cs="Arial"/>
                <w:sz w:val="18"/>
                <w:szCs w:val="18"/>
              </w:rPr>
            </w:pPr>
            <w:r w:rsidRPr="006E309C">
              <w:rPr>
                <w:rFonts w:eastAsia="Calibri" w:cs="Arial"/>
                <w:sz w:val="18"/>
                <w:szCs w:val="18"/>
              </w:rPr>
              <w:t>Number of  alliances/MAPs created to implement strategies</w:t>
            </w:r>
            <w:r w:rsidR="00CE0F48">
              <w:rPr>
                <w:rFonts w:eastAsia="Calibri" w:cs="Arial"/>
                <w:sz w:val="18"/>
                <w:szCs w:val="18"/>
              </w:rPr>
              <w:t>.</w:t>
            </w:r>
          </w:p>
          <w:p w14:paraId="2E2D8180" w14:textId="77777777" w:rsidR="0013193F" w:rsidRDefault="0013193F" w:rsidP="001C2D4B">
            <w:pPr>
              <w:pStyle w:val="NoSpacing"/>
              <w:spacing w:line="276" w:lineRule="auto"/>
              <w:rPr>
                <w:rFonts w:eastAsia="Calibri" w:cs="Arial"/>
                <w:sz w:val="18"/>
                <w:szCs w:val="18"/>
              </w:rPr>
            </w:pPr>
          </w:p>
          <w:p w14:paraId="494E9A0E" w14:textId="22CDE08C" w:rsidR="0013193F" w:rsidRDefault="0013193F" w:rsidP="001C2D4B">
            <w:r w:rsidRPr="005E425A">
              <w:rPr>
                <w:rFonts w:eastAsia="Calibri" w:cs="Verdana"/>
                <w:sz w:val="18"/>
                <w:szCs w:val="14"/>
              </w:rPr>
              <w:t>Number of times that CSOs succeed in creating space for CSO demands and positions through agenda setting, influencing the debate and/or creating space to engage</w:t>
            </w:r>
          </w:p>
        </w:tc>
        <w:tc>
          <w:tcPr>
            <w:tcW w:w="3685" w:type="dxa"/>
            <w:shd w:val="clear" w:color="auto" w:fill="F7CAAC" w:themeFill="accent2" w:themeFillTint="66"/>
          </w:tcPr>
          <w:p w14:paraId="6778F362" w14:textId="77777777" w:rsidR="0013193F" w:rsidRPr="00920DD8" w:rsidRDefault="0013193F" w:rsidP="001C2D4B">
            <w:pPr>
              <w:rPr>
                <w:sz w:val="18"/>
                <w:szCs w:val="18"/>
              </w:rPr>
            </w:pPr>
          </w:p>
        </w:tc>
      </w:tr>
      <w:tr w:rsidR="0013193F" w14:paraId="0228C48A" w14:textId="77777777" w:rsidTr="004034D6">
        <w:trPr>
          <w:trHeight w:val="250"/>
        </w:trPr>
        <w:tc>
          <w:tcPr>
            <w:tcW w:w="1271" w:type="dxa"/>
          </w:tcPr>
          <w:p w14:paraId="24381426" w14:textId="5DE090E3" w:rsidR="0013193F" w:rsidRPr="00F45A84" w:rsidRDefault="0013193F" w:rsidP="001C2D4B">
            <w:pPr>
              <w:rPr>
                <w:b/>
                <w:bCs/>
              </w:rPr>
            </w:pPr>
            <w:r w:rsidRPr="00F45A84">
              <w:rPr>
                <w:b/>
                <w:bCs/>
              </w:rPr>
              <w:t>Output 4.1</w:t>
            </w:r>
          </w:p>
        </w:tc>
        <w:tc>
          <w:tcPr>
            <w:tcW w:w="2410" w:type="dxa"/>
          </w:tcPr>
          <w:p w14:paraId="1669B379" w14:textId="4F2C148E" w:rsidR="0013193F" w:rsidRDefault="0013193F" w:rsidP="001C2D4B">
            <w:r w:rsidRPr="006E309C">
              <w:rPr>
                <w:sz w:val="18"/>
                <w:szCs w:val="18"/>
              </w:rPr>
              <w:t>Improved space for discussion around legal and institutional challenges and opportunities for implementation of  the SFC road map (with a particular focus to address Land Succession and Land Fragmentation)</w:t>
            </w:r>
          </w:p>
        </w:tc>
        <w:tc>
          <w:tcPr>
            <w:tcW w:w="5812" w:type="dxa"/>
          </w:tcPr>
          <w:p w14:paraId="691D602E" w14:textId="77777777" w:rsidR="0013193F" w:rsidRPr="006E309C" w:rsidRDefault="0013193F" w:rsidP="001C2D4B">
            <w:pPr>
              <w:pStyle w:val="NoSpacing"/>
              <w:spacing w:line="276" w:lineRule="auto"/>
              <w:rPr>
                <w:sz w:val="18"/>
                <w:szCs w:val="18"/>
              </w:rPr>
            </w:pPr>
            <w:r w:rsidRPr="006E309C">
              <w:rPr>
                <w:sz w:val="18"/>
                <w:szCs w:val="18"/>
              </w:rPr>
              <w:t>Number of guidelines, policies approved which support an effective and equitable implementation of LTR in Burundi, taking into account Land Succession and Land fragmentation.</w:t>
            </w:r>
          </w:p>
          <w:p w14:paraId="26FFA153" w14:textId="77777777" w:rsidR="0013193F" w:rsidRPr="006E309C" w:rsidRDefault="0013193F" w:rsidP="001C2D4B">
            <w:pPr>
              <w:pStyle w:val="NoSpacing"/>
              <w:spacing w:line="276" w:lineRule="auto"/>
              <w:rPr>
                <w:sz w:val="18"/>
                <w:szCs w:val="18"/>
              </w:rPr>
            </w:pPr>
          </w:p>
          <w:p w14:paraId="37DCB41C" w14:textId="77777777" w:rsidR="0013193F" w:rsidRPr="00AD0286" w:rsidRDefault="0013193F" w:rsidP="001C2D4B">
            <w:pPr>
              <w:pStyle w:val="NoSpacing"/>
              <w:spacing w:line="276" w:lineRule="auto"/>
              <w:rPr>
                <w:sz w:val="18"/>
                <w:szCs w:val="18"/>
              </w:rPr>
            </w:pPr>
            <w:r w:rsidRPr="00AD0286">
              <w:rPr>
                <w:sz w:val="18"/>
                <w:szCs w:val="18"/>
              </w:rPr>
              <w:t xml:space="preserve">Number of (inter)national institutions that contributed to improved (sub)national land governance aspects </w:t>
            </w:r>
          </w:p>
          <w:p w14:paraId="28F6708A" w14:textId="77777777" w:rsidR="0013193F" w:rsidRPr="006E309C" w:rsidRDefault="0013193F" w:rsidP="001C2D4B">
            <w:pPr>
              <w:pStyle w:val="NoSpacing"/>
              <w:spacing w:line="276" w:lineRule="auto"/>
              <w:rPr>
                <w:sz w:val="18"/>
                <w:szCs w:val="18"/>
              </w:rPr>
            </w:pPr>
          </w:p>
          <w:p w14:paraId="7016EF3D" w14:textId="114813DC" w:rsidR="0013193F" w:rsidRDefault="0013193F" w:rsidP="001C2D4B">
            <w:r w:rsidRPr="006E309C">
              <w:rPr>
                <w:sz w:val="18"/>
                <w:szCs w:val="18"/>
              </w:rPr>
              <w:t>Women's rights organizations are supported and have a platform for influence on the design of LTR and advocate for the protection of women’s land rights.</w:t>
            </w:r>
          </w:p>
        </w:tc>
        <w:tc>
          <w:tcPr>
            <w:tcW w:w="3685" w:type="dxa"/>
            <w:shd w:val="clear" w:color="auto" w:fill="F7CAAC" w:themeFill="accent2" w:themeFillTint="66"/>
          </w:tcPr>
          <w:p w14:paraId="43E2C84C" w14:textId="0C1CD167" w:rsidR="000D66CB" w:rsidRPr="000D66CB" w:rsidRDefault="00CE0F48" w:rsidP="000D66CB">
            <w:pPr>
              <w:rPr>
                <w:sz w:val="18"/>
                <w:szCs w:val="18"/>
              </w:rPr>
            </w:pPr>
            <w:r>
              <w:rPr>
                <w:sz w:val="18"/>
                <w:szCs w:val="18"/>
              </w:rPr>
              <w:t>Identification of key institutional and normative barriers</w:t>
            </w:r>
            <w:r w:rsidR="000D66CB">
              <w:rPr>
                <w:sz w:val="18"/>
                <w:szCs w:val="18"/>
              </w:rPr>
              <w:t xml:space="preserve">: </w:t>
            </w:r>
            <w:r w:rsidR="000D66CB" w:rsidRPr="000D66CB">
              <w:rPr>
                <w:sz w:val="18"/>
                <w:szCs w:val="18"/>
              </w:rPr>
              <w:t>zoom in on the challenges related to land fragmentation</w:t>
            </w:r>
            <w:r w:rsidR="000E386A">
              <w:rPr>
                <w:sz w:val="18"/>
                <w:szCs w:val="18"/>
              </w:rPr>
              <w:t>.</w:t>
            </w:r>
          </w:p>
          <w:p w14:paraId="3AE4DF89" w14:textId="3AB1D933" w:rsidR="000D66CB" w:rsidRPr="00920DD8" w:rsidRDefault="000D66CB" w:rsidP="001C2D4B">
            <w:pPr>
              <w:rPr>
                <w:sz w:val="18"/>
                <w:szCs w:val="18"/>
              </w:rPr>
            </w:pPr>
          </w:p>
        </w:tc>
      </w:tr>
      <w:tr w:rsidR="0013193F" w14:paraId="3679425B" w14:textId="77777777" w:rsidTr="004034D6">
        <w:trPr>
          <w:trHeight w:val="250"/>
        </w:trPr>
        <w:tc>
          <w:tcPr>
            <w:tcW w:w="1271" w:type="dxa"/>
          </w:tcPr>
          <w:p w14:paraId="1C70EB59" w14:textId="2EF58BFE" w:rsidR="0013193F" w:rsidRPr="00F45A84" w:rsidRDefault="0013193F" w:rsidP="001C2D4B">
            <w:pPr>
              <w:rPr>
                <w:b/>
                <w:bCs/>
              </w:rPr>
            </w:pPr>
            <w:r w:rsidRPr="00F45A84">
              <w:rPr>
                <w:b/>
                <w:bCs/>
              </w:rPr>
              <w:t>Output 4.2</w:t>
            </w:r>
          </w:p>
        </w:tc>
        <w:tc>
          <w:tcPr>
            <w:tcW w:w="2410" w:type="dxa"/>
          </w:tcPr>
          <w:p w14:paraId="3301814F" w14:textId="152E9B78" w:rsidR="0013193F" w:rsidRDefault="0013193F" w:rsidP="001C2D4B">
            <w:r w:rsidRPr="006E309C">
              <w:rPr>
                <w:sz w:val="18"/>
                <w:szCs w:val="18"/>
              </w:rPr>
              <w:t>Set-up and strengthen networks of LTR actors.</w:t>
            </w:r>
          </w:p>
        </w:tc>
        <w:tc>
          <w:tcPr>
            <w:tcW w:w="5812" w:type="dxa"/>
          </w:tcPr>
          <w:p w14:paraId="380EF514" w14:textId="77777777" w:rsidR="0013193F" w:rsidRPr="006E309C" w:rsidRDefault="0013193F" w:rsidP="001C2D4B">
            <w:pPr>
              <w:pStyle w:val="NoSpacing"/>
              <w:spacing w:line="276" w:lineRule="auto"/>
              <w:rPr>
                <w:sz w:val="18"/>
                <w:szCs w:val="18"/>
              </w:rPr>
            </w:pPr>
            <w:r w:rsidRPr="006E309C">
              <w:rPr>
                <w:sz w:val="18"/>
                <w:szCs w:val="18"/>
              </w:rPr>
              <w:t>LTR actors are aware of the challenges with respect to equitable land rights and have the space to discuss these issues.</w:t>
            </w:r>
          </w:p>
          <w:p w14:paraId="30DCD9BB" w14:textId="77777777" w:rsidR="0013193F" w:rsidRPr="006E309C" w:rsidRDefault="0013193F" w:rsidP="001C2D4B">
            <w:pPr>
              <w:pStyle w:val="NoSpacing"/>
              <w:spacing w:line="276" w:lineRule="auto"/>
              <w:rPr>
                <w:sz w:val="18"/>
                <w:szCs w:val="18"/>
                <w:lang w:val="en-GB"/>
              </w:rPr>
            </w:pPr>
          </w:p>
          <w:p w14:paraId="5BCA9495" w14:textId="2399B021" w:rsidR="0013193F" w:rsidRDefault="0013193F" w:rsidP="001C2D4B">
            <w:r w:rsidRPr="006E309C">
              <w:rPr>
                <w:sz w:val="18"/>
                <w:szCs w:val="18"/>
                <w:lang w:val="en-GB"/>
              </w:rPr>
              <w:lastRenderedPageBreak/>
              <w:t xml:space="preserve">Groupe </w:t>
            </w:r>
            <w:proofErr w:type="spellStart"/>
            <w:r w:rsidRPr="006E309C">
              <w:rPr>
                <w:sz w:val="18"/>
                <w:szCs w:val="18"/>
                <w:lang w:val="en-GB"/>
              </w:rPr>
              <w:t>Sectoriel</w:t>
            </w:r>
            <w:proofErr w:type="spellEnd"/>
            <w:r w:rsidRPr="006E309C">
              <w:rPr>
                <w:sz w:val="18"/>
                <w:szCs w:val="18"/>
                <w:lang w:val="en-GB"/>
              </w:rPr>
              <w:t xml:space="preserve"> de </w:t>
            </w:r>
            <w:proofErr w:type="spellStart"/>
            <w:r w:rsidRPr="006E309C">
              <w:rPr>
                <w:sz w:val="18"/>
                <w:szCs w:val="18"/>
                <w:lang w:val="en-GB"/>
              </w:rPr>
              <w:t>Foncier</w:t>
            </w:r>
            <w:proofErr w:type="spellEnd"/>
            <w:r w:rsidRPr="006E309C">
              <w:rPr>
                <w:sz w:val="18"/>
                <w:szCs w:val="18"/>
                <w:lang w:val="en-GB"/>
              </w:rPr>
              <w:t xml:space="preserve">, </w:t>
            </w:r>
            <w:r w:rsidRPr="006E309C">
              <w:rPr>
                <w:sz w:val="18"/>
                <w:szCs w:val="18"/>
              </w:rPr>
              <w:t>national and international knowledge institutes and other relevant actors are able to influence the design of the SFC business case and roll-out.</w:t>
            </w:r>
          </w:p>
        </w:tc>
        <w:tc>
          <w:tcPr>
            <w:tcW w:w="3685" w:type="dxa"/>
            <w:shd w:val="clear" w:color="auto" w:fill="F7CAAC" w:themeFill="accent2" w:themeFillTint="66"/>
          </w:tcPr>
          <w:p w14:paraId="05B2ECA7" w14:textId="392C20C9" w:rsidR="0013193F" w:rsidRPr="00920DD8" w:rsidRDefault="00B47E11" w:rsidP="001C2D4B">
            <w:pPr>
              <w:rPr>
                <w:sz w:val="18"/>
                <w:szCs w:val="18"/>
              </w:rPr>
            </w:pPr>
            <w:r>
              <w:rPr>
                <w:sz w:val="18"/>
                <w:szCs w:val="18"/>
              </w:rPr>
              <w:lastRenderedPageBreak/>
              <w:t>Assess t</w:t>
            </w:r>
            <w:r w:rsidRPr="00B47E11">
              <w:rPr>
                <w:sz w:val="18"/>
                <w:szCs w:val="18"/>
              </w:rPr>
              <w:t xml:space="preserve">he current space status to discuss land </w:t>
            </w:r>
            <w:r>
              <w:rPr>
                <w:sz w:val="18"/>
                <w:szCs w:val="18"/>
              </w:rPr>
              <w:t>r</w:t>
            </w:r>
            <w:r w:rsidRPr="00B47E11">
              <w:rPr>
                <w:sz w:val="18"/>
                <w:szCs w:val="18"/>
              </w:rPr>
              <w:t>ights and main actors – their capacities to influence</w:t>
            </w:r>
          </w:p>
        </w:tc>
      </w:tr>
    </w:tbl>
    <w:p w14:paraId="5F08CD95" w14:textId="77777777" w:rsidR="00837860" w:rsidRDefault="00837860" w:rsidP="0066319F">
      <w:pPr>
        <w:pStyle w:val="Heading1"/>
        <w:numPr>
          <w:ilvl w:val="0"/>
          <w:numId w:val="2"/>
        </w:numPr>
        <w:sectPr w:rsidR="00837860" w:rsidSect="00F45A84">
          <w:pgSz w:w="15840" w:h="12240" w:orient="landscape"/>
          <w:pgMar w:top="1440" w:right="1440" w:bottom="1440" w:left="1440" w:header="720" w:footer="720" w:gutter="0"/>
          <w:cols w:space="720"/>
          <w:docGrid w:linePitch="360"/>
        </w:sectPr>
      </w:pPr>
    </w:p>
    <w:p w14:paraId="0DC4F3B4" w14:textId="1ADE58FE" w:rsidR="0066319F" w:rsidRPr="00733707" w:rsidRDefault="0066319F" w:rsidP="00594939">
      <w:pPr>
        <w:pStyle w:val="Heading1"/>
        <w:numPr>
          <w:ilvl w:val="0"/>
          <w:numId w:val="2"/>
        </w:numPr>
        <w:jc w:val="both"/>
        <w:rPr>
          <w:b/>
          <w:bCs/>
          <w:color w:val="auto"/>
        </w:rPr>
      </w:pPr>
      <w:r w:rsidRPr="00733707">
        <w:rPr>
          <w:b/>
          <w:bCs/>
          <w:color w:val="auto"/>
        </w:rPr>
        <w:lastRenderedPageBreak/>
        <w:t>Methodolog</w:t>
      </w:r>
      <w:r w:rsidR="00D807BF" w:rsidRPr="00733707">
        <w:rPr>
          <w:b/>
          <w:bCs/>
          <w:color w:val="auto"/>
        </w:rPr>
        <w:t>y</w:t>
      </w:r>
    </w:p>
    <w:p w14:paraId="685E76FB" w14:textId="08442942" w:rsidR="00837860" w:rsidRDefault="0097299F" w:rsidP="00594939">
      <w:pPr>
        <w:pStyle w:val="NoSpacing"/>
        <w:jc w:val="both"/>
      </w:pPr>
      <w:r w:rsidRPr="0097299F">
        <w:t>Quantitative, qualitative and desk study will</w:t>
      </w:r>
      <w:r>
        <w:t xml:space="preserve"> be used</w:t>
      </w:r>
      <w:r w:rsidR="00D807BF">
        <w:t xml:space="preserve"> as methods</w:t>
      </w:r>
      <w:r>
        <w:t xml:space="preserve"> in the baseline study</w:t>
      </w:r>
      <w:r w:rsidR="00C74C54">
        <w:t xml:space="preserve">. The consultant will </w:t>
      </w:r>
      <w:r w:rsidR="00927C19">
        <w:t xml:space="preserve">further </w:t>
      </w:r>
      <w:r w:rsidR="00C74C54">
        <w:t>elaborate which particular information needs</w:t>
      </w:r>
      <w:r w:rsidR="005A5E7C">
        <w:t xml:space="preserve"> </w:t>
      </w:r>
      <w:r w:rsidR="00927C19">
        <w:t>(</w:t>
      </w:r>
      <w:r w:rsidR="005A5E7C">
        <w:t xml:space="preserve">as </w:t>
      </w:r>
      <w:r w:rsidR="00927C19">
        <w:t xml:space="preserve">described in the table above in chapter 2 of these </w:t>
      </w:r>
      <w:proofErr w:type="spellStart"/>
      <w:r w:rsidR="00927C19">
        <w:t>T</w:t>
      </w:r>
      <w:r w:rsidR="0079721A">
        <w:t>oR</w:t>
      </w:r>
      <w:proofErr w:type="spellEnd"/>
      <w:r w:rsidR="00927C19">
        <w:t>)</w:t>
      </w:r>
      <w:r w:rsidR="00C74C54">
        <w:t xml:space="preserve"> will </w:t>
      </w:r>
      <w:r w:rsidR="005A5E7C">
        <w:t>be covered by each of the research methods</w:t>
      </w:r>
      <w:r w:rsidR="00927C19">
        <w:t>.</w:t>
      </w:r>
    </w:p>
    <w:p w14:paraId="1095B6F8" w14:textId="77777777" w:rsidR="00837860" w:rsidRPr="00837860" w:rsidRDefault="00837860" w:rsidP="00594939">
      <w:pPr>
        <w:pStyle w:val="NoSpacing"/>
        <w:jc w:val="both"/>
      </w:pPr>
    </w:p>
    <w:p w14:paraId="04683D6F" w14:textId="77777777" w:rsidR="00837860" w:rsidRPr="00837860" w:rsidRDefault="00C82B53" w:rsidP="00594939">
      <w:pPr>
        <w:pStyle w:val="NoSpacing"/>
        <w:numPr>
          <w:ilvl w:val="0"/>
          <w:numId w:val="11"/>
        </w:numPr>
        <w:jc w:val="both"/>
        <w:rPr>
          <w:b/>
          <w:bCs/>
        </w:rPr>
      </w:pPr>
      <w:r w:rsidRPr="00837860">
        <w:rPr>
          <w:b/>
          <w:bCs/>
        </w:rPr>
        <w:t>Quantitative survey</w:t>
      </w:r>
      <w:r w:rsidR="00837860" w:rsidRPr="00837860">
        <w:rPr>
          <w:b/>
          <w:bCs/>
        </w:rPr>
        <w:t xml:space="preserve">: </w:t>
      </w:r>
    </w:p>
    <w:p w14:paraId="418851AC" w14:textId="1B8C69C0" w:rsidR="00837860" w:rsidRDefault="00837860" w:rsidP="00594939">
      <w:pPr>
        <w:pStyle w:val="NoSpacing"/>
        <w:numPr>
          <w:ilvl w:val="1"/>
          <w:numId w:val="11"/>
        </w:numPr>
        <w:jc w:val="both"/>
      </w:pPr>
      <w:r>
        <w:t xml:space="preserve">In </w:t>
      </w:r>
      <w:r w:rsidR="00C82B53" w:rsidRPr="0097299F">
        <w:t xml:space="preserve">Nyanza Lac </w:t>
      </w:r>
      <w:r w:rsidR="0079721A">
        <w:t>district</w:t>
      </w:r>
      <w:r>
        <w:t>.</w:t>
      </w:r>
    </w:p>
    <w:p w14:paraId="69E15A50" w14:textId="033B13C1" w:rsidR="00837860" w:rsidRDefault="00837860" w:rsidP="00594939">
      <w:pPr>
        <w:pStyle w:val="NoSpacing"/>
        <w:numPr>
          <w:ilvl w:val="1"/>
          <w:numId w:val="11"/>
        </w:numPr>
        <w:jc w:val="both"/>
      </w:pPr>
      <w:r>
        <w:t>T</w:t>
      </w:r>
      <w:r w:rsidR="0097299F">
        <w:t>he population as target</w:t>
      </w:r>
      <w:r>
        <w:t>.</w:t>
      </w:r>
    </w:p>
    <w:p w14:paraId="5E59D876" w14:textId="77777777" w:rsidR="0079721A" w:rsidRDefault="00837860" w:rsidP="00594939">
      <w:pPr>
        <w:pStyle w:val="NoSpacing"/>
        <w:numPr>
          <w:ilvl w:val="1"/>
          <w:numId w:val="11"/>
        </w:numPr>
        <w:jc w:val="both"/>
      </w:pPr>
      <w:r>
        <w:t>Survey to be developed by the consultant, inspired by</w:t>
      </w:r>
      <w:r w:rsidR="0079721A">
        <w:t>:</w:t>
      </w:r>
    </w:p>
    <w:p w14:paraId="40550B3E" w14:textId="77777777" w:rsidR="0079721A" w:rsidRDefault="00837860" w:rsidP="0079721A">
      <w:pPr>
        <w:pStyle w:val="NoSpacing"/>
        <w:numPr>
          <w:ilvl w:val="2"/>
          <w:numId w:val="11"/>
        </w:numPr>
        <w:jc w:val="both"/>
      </w:pPr>
      <w:r>
        <w:t>the project proposal</w:t>
      </w:r>
      <w:r w:rsidR="0079721A">
        <w:t xml:space="preserve"> and</w:t>
      </w:r>
      <w:r>
        <w:t xml:space="preserve"> logical framework</w:t>
      </w:r>
      <w:r w:rsidR="007A440F">
        <w:t>,</w:t>
      </w:r>
      <w:r>
        <w:t xml:space="preserve"> </w:t>
      </w:r>
    </w:p>
    <w:p w14:paraId="2AD58D01" w14:textId="61BE56AE" w:rsidR="00837860" w:rsidRDefault="00837860" w:rsidP="0079721A">
      <w:pPr>
        <w:pStyle w:val="NoSpacing"/>
        <w:numPr>
          <w:ilvl w:val="2"/>
          <w:numId w:val="11"/>
        </w:numPr>
        <w:jc w:val="both"/>
      </w:pPr>
      <w:r>
        <w:t>baseline</w:t>
      </w:r>
      <w:r w:rsidR="0079721A">
        <w:t>-</w:t>
      </w:r>
      <w:r>
        <w:t xml:space="preserve"> and impact studies carried out </w:t>
      </w:r>
      <w:r w:rsidR="0079721A">
        <w:t xml:space="preserve">during </w:t>
      </w:r>
      <w:r>
        <w:t>previous land rights project</w:t>
      </w:r>
      <w:r w:rsidR="0079721A">
        <w:t>s.</w:t>
      </w:r>
    </w:p>
    <w:p w14:paraId="4284EF20" w14:textId="57DF1A59" w:rsidR="00C82B53" w:rsidRDefault="00837860" w:rsidP="00594939">
      <w:pPr>
        <w:pStyle w:val="NoSpacing"/>
        <w:numPr>
          <w:ilvl w:val="1"/>
          <w:numId w:val="11"/>
        </w:numPr>
        <w:jc w:val="both"/>
      </w:pPr>
      <w:r>
        <w:t xml:space="preserve">Sampling to be proposed by the consultant. </w:t>
      </w:r>
    </w:p>
    <w:p w14:paraId="2502BC2C" w14:textId="6B2C26DB" w:rsidR="00826FFF" w:rsidRDefault="00826FFF" w:rsidP="00594939">
      <w:pPr>
        <w:pStyle w:val="NoSpacing"/>
        <w:numPr>
          <w:ilvl w:val="1"/>
          <w:numId w:val="11"/>
        </w:numPr>
        <w:jc w:val="both"/>
      </w:pPr>
      <w:r>
        <w:t xml:space="preserve">Enumerators to be recruited and trained by the consultant. </w:t>
      </w:r>
    </w:p>
    <w:p w14:paraId="26E6D87A" w14:textId="77777777" w:rsidR="00837860" w:rsidRPr="0097299F" w:rsidRDefault="00837860" w:rsidP="00594939">
      <w:pPr>
        <w:pStyle w:val="NoSpacing"/>
        <w:jc w:val="both"/>
      </w:pPr>
    </w:p>
    <w:p w14:paraId="304C2070" w14:textId="5D32DC52" w:rsidR="00837860" w:rsidRDefault="00C82B53" w:rsidP="00594939">
      <w:pPr>
        <w:pStyle w:val="NoSpacing"/>
        <w:numPr>
          <w:ilvl w:val="0"/>
          <w:numId w:val="11"/>
        </w:numPr>
        <w:jc w:val="both"/>
      </w:pPr>
      <w:r w:rsidRPr="00837860">
        <w:rPr>
          <w:b/>
          <w:bCs/>
        </w:rPr>
        <w:t>Qualitative focus group discussions</w:t>
      </w:r>
      <w:r>
        <w:t xml:space="preserve"> </w:t>
      </w:r>
      <w:r w:rsidR="0045502A">
        <w:t>(FGD)</w:t>
      </w:r>
      <w:r w:rsidR="0079721A">
        <w:tab/>
      </w:r>
    </w:p>
    <w:p w14:paraId="531DC5F2" w14:textId="4712F860" w:rsidR="00837860" w:rsidRDefault="00837860" w:rsidP="00594939">
      <w:pPr>
        <w:pStyle w:val="NoSpacing"/>
        <w:numPr>
          <w:ilvl w:val="1"/>
          <w:numId w:val="11"/>
        </w:numPr>
        <w:jc w:val="both"/>
      </w:pPr>
      <w:r>
        <w:t>I</w:t>
      </w:r>
      <w:r w:rsidR="00C82B53">
        <w:t xml:space="preserve">n Nyanza Lac </w:t>
      </w:r>
      <w:r w:rsidR="0079721A">
        <w:t>district</w:t>
      </w:r>
      <w:r>
        <w:t>.</w:t>
      </w:r>
    </w:p>
    <w:p w14:paraId="00D67193" w14:textId="19D4637D" w:rsidR="00C82B53" w:rsidRDefault="00837860" w:rsidP="00594939">
      <w:pPr>
        <w:pStyle w:val="NoSpacing"/>
        <w:numPr>
          <w:ilvl w:val="1"/>
          <w:numId w:val="11"/>
        </w:numPr>
        <w:jc w:val="both"/>
      </w:pPr>
      <w:r>
        <w:t>T</w:t>
      </w:r>
      <w:r w:rsidR="0097299F">
        <w:t>he population and the local authorities as target.</w:t>
      </w:r>
    </w:p>
    <w:p w14:paraId="07A6C412" w14:textId="77777777" w:rsidR="0079721A" w:rsidRDefault="0045502A" w:rsidP="00594939">
      <w:pPr>
        <w:pStyle w:val="NoSpacing"/>
        <w:numPr>
          <w:ilvl w:val="1"/>
          <w:numId w:val="11"/>
        </w:numPr>
        <w:jc w:val="both"/>
      </w:pPr>
      <w:r>
        <w:t>The guidelines for the FGDs to be developed by the consultant inspired by</w:t>
      </w:r>
      <w:r w:rsidR="0079721A">
        <w:t>:</w:t>
      </w:r>
    </w:p>
    <w:p w14:paraId="6377A0E6" w14:textId="574A99E4" w:rsidR="0079721A" w:rsidRDefault="0045502A" w:rsidP="0079721A">
      <w:pPr>
        <w:pStyle w:val="NoSpacing"/>
        <w:numPr>
          <w:ilvl w:val="2"/>
          <w:numId w:val="11"/>
        </w:numPr>
        <w:jc w:val="both"/>
      </w:pPr>
      <w:r>
        <w:t>the project proposal</w:t>
      </w:r>
      <w:r w:rsidR="0079721A">
        <w:t xml:space="preserve"> and</w:t>
      </w:r>
      <w:r>
        <w:t xml:space="preserve"> logical framework</w:t>
      </w:r>
      <w:r w:rsidR="0079721A">
        <w:t xml:space="preserve">, </w:t>
      </w:r>
    </w:p>
    <w:p w14:paraId="2DF42E57" w14:textId="7194FF5F" w:rsidR="0079721A" w:rsidRDefault="0045502A" w:rsidP="0079721A">
      <w:pPr>
        <w:pStyle w:val="NoSpacing"/>
        <w:numPr>
          <w:ilvl w:val="2"/>
          <w:numId w:val="11"/>
        </w:numPr>
        <w:jc w:val="both"/>
      </w:pPr>
      <w:r>
        <w:t>baseline</w:t>
      </w:r>
      <w:r w:rsidR="0079721A">
        <w:t>-</w:t>
      </w:r>
      <w:r>
        <w:t xml:space="preserve"> and impact studies carried out </w:t>
      </w:r>
      <w:r w:rsidR="0079721A">
        <w:t xml:space="preserve">during </w:t>
      </w:r>
      <w:r>
        <w:t>previous land rights project</w:t>
      </w:r>
      <w:r w:rsidR="0079721A">
        <w:t>s,</w:t>
      </w:r>
    </w:p>
    <w:p w14:paraId="4BAE4353" w14:textId="0BA27A81" w:rsidR="0045502A" w:rsidRDefault="0045502A" w:rsidP="0079721A">
      <w:pPr>
        <w:pStyle w:val="NoSpacing"/>
        <w:numPr>
          <w:ilvl w:val="2"/>
          <w:numId w:val="11"/>
        </w:numPr>
        <w:jc w:val="both"/>
      </w:pPr>
      <w:r>
        <w:t xml:space="preserve">VNG International assessments carried out. </w:t>
      </w:r>
    </w:p>
    <w:p w14:paraId="03F9777F" w14:textId="17DBA216" w:rsidR="0045502A" w:rsidRDefault="00826FFF" w:rsidP="00594939">
      <w:pPr>
        <w:pStyle w:val="NoSpacing"/>
        <w:numPr>
          <w:ilvl w:val="1"/>
          <w:numId w:val="11"/>
        </w:numPr>
        <w:jc w:val="both"/>
      </w:pPr>
      <w:r>
        <w:t>Sampling and further methodology to be proposed by the consultant.</w:t>
      </w:r>
    </w:p>
    <w:p w14:paraId="5FE5E9A7" w14:textId="77777777" w:rsidR="00826FFF" w:rsidRDefault="00826FFF" w:rsidP="00594939">
      <w:pPr>
        <w:pStyle w:val="NoSpacing"/>
        <w:ind w:left="1080"/>
        <w:jc w:val="both"/>
      </w:pPr>
    </w:p>
    <w:p w14:paraId="76CB3C79" w14:textId="3F859214" w:rsidR="00826FFF" w:rsidRDefault="00C82B53" w:rsidP="00594939">
      <w:pPr>
        <w:pStyle w:val="NoSpacing"/>
        <w:numPr>
          <w:ilvl w:val="0"/>
          <w:numId w:val="11"/>
        </w:numPr>
        <w:jc w:val="both"/>
      </w:pPr>
      <w:r w:rsidRPr="00826FFF">
        <w:rPr>
          <w:b/>
          <w:bCs/>
        </w:rPr>
        <w:t xml:space="preserve">Qualitative interviews </w:t>
      </w:r>
      <w:r w:rsidR="0079721A">
        <w:rPr>
          <w:b/>
          <w:bCs/>
        </w:rPr>
        <w:t>with key stakeholders</w:t>
      </w:r>
    </w:p>
    <w:p w14:paraId="3DCFCACD" w14:textId="0A982B3B" w:rsidR="00C82B53" w:rsidRDefault="00B5224F" w:rsidP="00594939">
      <w:pPr>
        <w:pStyle w:val="NoSpacing"/>
        <w:numPr>
          <w:ilvl w:val="1"/>
          <w:numId w:val="11"/>
        </w:numPr>
        <w:jc w:val="both"/>
      </w:pPr>
      <w:r>
        <w:t>T</w:t>
      </w:r>
      <w:r w:rsidR="0097299F">
        <w:t xml:space="preserve">he consortium members, </w:t>
      </w:r>
      <w:r w:rsidR="00837603">
        <w:t>EKN</w:t>
      </w:r>
      <w:r w:rsidR="00851BD7">
        <w:t xml:space="preserve">, </w:t>
      </w:r>
      <w:r w:rsidR="0097299F">
        <w:t>the local</w:t>
      </w:r>
      <w:r w:rsidR="006310D7">
        <w:t xml:space="preserve"> and national</w:t>
      </w:r>
      <w:r w:rsidR="0097299F">
        <w:t xml:space="preserve"> authorities, </w:t>
      </w:r>
      <w:r w:rsidR="005F63DE">
        <w:t xml:space="preserve">other actors in the land rights sector in Burundi, </w:t>
      </w:r>
      <w:r w:rsidR="006310D7">
        <w:t xml:space="preserve">and </w:t>
      </w:r>
      <w:r w:rsidR="0097299F">
        <w:t>other NGOs</w:t>
      </w:r>
      <w:r w:rsidR="006310D7">
        <w:t xml:space="preserve"> </w:t>
      </w:r>
      <w:r w:rsidR="00C775CA">
        <w:t>operational in Nyanza Lac (complementarity)</w:t>
      </w:r>
      <w:r w:rsidR="00851BD7">
        <w:t xml:space="preserve"> and other donors funding land rights activities in Burundi</w:t>
      </w:r>
      <w:r w:rsidR="006310D7">
        <w:t xml:space="preserve">. </w:t>
      </w:r>
    </w:p>
    <w:p w14:paraId="062EA07D" w14:textId="13E45520" w:rsidR="00B5224F" w:rsidRDefault="00B5224F" w:rsidP="00594939">
      <w:pPr>
        <w:pStyle w:val="NoSpacing"/>
        <w:numPr>
          <w:ilvl w:val="1"/>
          <w:numId w:val="11"/>
        </w:numPr>
        <w:jc w:val="both"/>
      </w:pPr>
      <w:r>
        <w:t xml:space="preserve">Interview guidelines to be developed by the consultant. </w:t>
      </w:r>
    </w:p>
    <w:p w14:paraId="39A25D8E" w14:textId="77777777" w:rsidR="00832B37" w:rsidRDefault="00832B37" w:rsidP="00594939">
      <w:pPr>
        <w:pStyle w:val="NoSpacing"/>
        <w:jc w:val="both"/>
      </w:pPr>
    </w:p>
    <w:p w14:paraId="07840589" w14:textId="77777777" w:rsidR="00832B37" w:rsidRDefault="00C82B53" w:rsidP="00594939">
      <w:pPr>
        <w:pStyle w:val="NoSpacing"/>
        <w:numPr>
          <w:ilvl w:val="0"/>
          <w:numId w:val="11"/>
        </w:numPr>
        <w:jc w:val="both"/>
      </w:pPr>
      <w:r w:rsidRPr="00832B37">
        <w:rPr>
          <w:b/>
          <w:bCs/>
        </w:rPr>
        <w:t>Desk study</w:t>
      </w:r>
    </w:p>
    <w:p w14:paraId="738EAFA1" w14:textId="1186C027" w:rsidR="00C82B53" w:rsidRDefault="00832B37" w:rsidP="00594939">
      <w:pPr>
        <w:pStyle w:val="NoSpacing"/>
        <w:numPr>
          <w:ilvl w:val="1"/>
          <w:numId w:val="11"/>
        </w:numPr>
        <w:jc w:val="both"/>
      </w:pPr>
      <w:r>
        <w:t xml:space="preserve">Of </w:t>
      </w:r>
      <w:r w:rsidR="00C82B53">
        <w:t>relevant documents and secondary data</w:t>
      </w:r>
      <w:r w:rsidR="006310D7">
        <w:t xml:space="preserve"> such as </w:t>
      </w:r>
      <w:r w:rsidR="00BF015B">
        <w:t xml:space="preserve">the project proposal, previous land rights projects, baseline studies and impact studies of </w:t>
      </w:r>
      <w:r>
        <w:t>previous</w:t>
      </w:r>
      <w:r w:rsidR="00BF015B">
        <w:t xml:space="preserve"> land rights projects, the land law</w:t>
      </w:r>
      <w:r>
        <w:t xml:space="preserve"> of Burundi, etc. </w:t>
      </w:r>
      <w:r w:rsidR="00BF015B">
        <w:t xml:space="preserve"> </w:t>
      </w:r>
    </w:p>
    <w:p w14:paraId="420ED331" w14:textId="0A8E1BAF" w:rsidR="00027594" w:rsidRDefault="00027594" w:rsidP="00594939">
      <w:pPr>
        <w:pStyle w:val="NoSpacing"/>
        <w:numPr>
          <w:ilvl w:val="1"/>
          <w:numId w:val="11"/>
        </w:numPr>
        <w:jc w:val="both"/>
      </w:pPr>
      <w:r>
        <w:t xml:space="preserve">In particular </w:t>
      </w:r>
      <w:r w:rsidRPr="00027594">
        <w:t>review of KIT recommendations</w:t>
      </w:r>
      <w:r w:rsidR="009D58F9">
        <w:t xml:space="preserve"> (impact study of previous land rights projects in Makamba provin</w:t>
      </w:r>
      <w:r w:rsidR="00FE0353">
        <w:t>ce)</w:t>
      </w:r>
      <w:r w:rsidRPr="00027594">
        <w:t xml:space="preserve"> and implementation </w:t>
      </w:r>
      <w:r>
        <w:t>and an</w:t>
      </w:r>
      <w:r w:rsidRPr="00027594">
        <w:t xml:space="preserve"> </w:t>
      </w:r>
      <w:r>
        <w:t>i</w:t>
      </w:r>
      <w:r w:rsidRPr="00027594">
        <w:t>dentification of good practices and necessary adaptations</w:t>
      </w:r>
      <w:r>
        <w:t xml:space="preserve"> to the project </w:t>
      </w:r>
      <w:r w:rsidR="009D58F9">
        <w:t xml:space="preserve">implementation strategy. </w:t>
      </w:r>
    </w:p>
    <w:p w14:paraId="08C8BFF3" w14:textId="77777777" w:rsidR="00E95A5E" w:rsidRDefault="00E95A5E" w:rsidP="00E95A5E">
      <w:pPr>
        <w:pStyle w:val="NoSpacing"/>
        <w:ind w:left="1440"/>
        <w:jc w:val="both"/>
      </w:pPr>
    </w:p>
    <w:p w14:paraId="0145751D" w14:textId="2B921449" w:rsidR="00E60DA7" w:rsidRDefault="00E95A5E" w:rsidP="00E60DA7">
      <w:pPr>
        <w:pStyle w:val="NoSpacing"/>
        <w:jc w:val="both"/>
      </w:pPr>
      <w:r>
        <w:t xml:space="preserve">The table below gives a rough indication of the main tasks/outputs </w:t>
      </w:r>
      <w:r w:rsidR="008D0CC4">
        <w:t xml:space="preserve">set out in time / days. </w:t>
      </w:r>
    </w:p>
    <w:p w14:paraId="092FE66E" w14:textId="0DA7D006" w:rsidR="00E60DA7" w:rsidRDefault="00E60DA7" w:rsidP="00E60DA7">
      <w:pPr>
        <w:pStyle w:val="NoSpacing"/>
        <w:jc w:val="both"/>
      </w:pPr>
    </w:p>
    <w:tbl>
      <w:tblPr>
        <w:tblStyle w:val="TableGrid"/>
        <w:tblW w:w="8944" w:type="dxa"/>
        <w:tblInd w:w="360" w:type="dxa"/>
        <w:tblLayout w:type="fixed"/>
        <w:tblLook w:val="04A0" w:firstRow="1" w:lastRow="0" w:firstColumn="1" w:lastColumn="0" w:noHBand="0" w:noVBand="1"/>
      </w:tblPr>
      <w:tblGrid>
        <w:gridCol w:w="6174"/>
        <w:gridCol w:w="2770"/>
      </w:tblGrid>
      <w:tr w:rsidR="00E41C93" w:rsidRPr="005341AA" w14:paraId="743BD061" w14:textId="6A4981DB" w:rsidTr="00E41C93">
        <w:trPr>
          <w:trHeight w:val="797"/>
        </w:trPr>
        <w:tc>
          <w:tcPr>
            <w:tcW w:w="6174" w:type="dxa"/>
            <w:shd w:val="clear" w:color="auto" w:fill="D9D9D9" w:themeFill="background1" w:themeFillShade="D9"/>
            <w:vAlign w:val="center"/>
          </w:tcPr>
          <w:p w14:paraId="402A8EB2" w14:textId="77777777" w:rsidR="00E41C93" w:rsidRPr="005341AA" w:rsidRDefault="00E41C93" w:rsidP="008956C7">
            <w:pPr>
              <w:jc w:val="center"/>
              <w:rPr>
                <w:b/>
              </w:rPr>
            </w:pPr>
            <w:r w:rsidRPr="005341AA">
              <w:rPr>
                <w:b/>
              </w:rPr>
              <w:t>Task</w:t>
            </w:r>
            <w:r>
              <w:rPr>
                <w:b/>
              </w:rPr>
              <w:t>/output</w:t>
            </w:r>
          </w:p>
        </w:tc>
        <w:tc>
          <w:tcPr>
            <w:tcW w:w="2770" w:type="dxa"/>
            <w:shd w:val="clear" w:color="auto" w:fill="D9D9D9" w:themeFill="background1" w:themeFillShade="D9"/>
          </w:tcPr>
          <w:p w14:paraId="1B8A0210" w14:textId="77777777" w:rsidR="00E41C93" w:rsidRDefault="00E41C93" w:rsidP="008956C7">
            <w:pPr>
              <w:jc w:val="center"/>
              <w:rPr>
                <w:b/>
              </w:rPr>
            </w:pPr>
          </w:p>
          <w:p w14:paraId="2107A6BF" w14:textId="4C457C72" w:rsidR="00E41C93" w:rsidRDefault="00E41C93" w:rsidP="008956C7">
            <w:pPr>
              <w:jc w:val="center"/>
              <w:rPr>
                <w:b/>
              </w:rPr>
            </w:pPr>
            <w:r>
              <w:rPr>
                <w:b/>
              </w:rPr>
              <w:t>Estimation of consultancy days</w:t>
            </w:r>
          </w:p>
        </w:tc>
      </w:tr>
      <w:tr w:rsidR="00E41C93" w14:paraId="2DDFFE34" w14:textId="49AF77B6" w:rsidTr="00E41C93">
        <w:trPr>
          <w:trHeight w:val="270"/>
        </w:trPr>
        <w:tc>
          <w:tcPr>
            <w:tcW w:w="6174" w:type="dxa"/>
          </w:tcPr>
          <w:p w14:paraId="35B5FEB1" w14:textId="7B0A419C" w:rsidR="00E41C93" w:rsidRDefault="00E41C93" w:rsidP="008956C7">
            <w:r>
              <w:t>Desk study</w:t>
            </w:r>
          </w:p>
        </w:tc>
        <w:tc>
          <w:tcPr>
            <w:tcW w:w="2770" w:type="dxa"/>
          </w:tcPr>
          <w:p w14:paraId="6B906C6A" w14:textId="41E9DC67" w:rsidR="00E41C93" w:rsidRDefault="00E41C93" w:rsidP="008956C7">
            <w:pPr>
              <w:jc w:val="center"/>
            </w:pPr>
            <w:r>
              <w:t>3</w:t>
            </w:r>
          </w:p>
        </w:tc>
      </w:tr>
      <w:tr w:rsidR="00E41C93" w14:paraId="5634A7B1" w14:textId="77777777" w:rsidTr="00E41C93">
        <w:trPr>
          <w:trHeight w:val="270"/>
        </w:trPr>
        <w:tc>
          <w:tcPr>
            <w:tcW w:w="6174" w:type="dxa"/>
          </w:tcPr>
          <w:p w14:paraId="008C5080" w14:textId="25697D0B" w:rsidR="00E41C93" w:rsidRDefault="00E41C93" w:rsidP="008956C7">
            <w:r>
              <w:t xml:space="preserve">Preparation for field work (development of data collection tools, training of  enumerators, field testing, </w:t>
            </w:r>
            <w:proofErr w:type="spellStart"/>
            <w:r>
              <w:t>etc</w:t>
            </w:r>
            <w:proofErr w:type="spellEnd"/>
            <w:r>
              <w:t>)</w:t>
            </w:r>
          </w:p>
        </w:tc>
        <w:tc>
          <w:tcPr>
            <w:tcW w:w="2770" w:type="dxa"/>
          </w:tcPr>
          <w:p w14:paraId="652BA3B8" w14:textId="08C68C23" w:rsidR="00E41C93" w:rsidRDefault="00E41C93" w:rsidP="008956C7">
            <w:pPr>
              <w:jc w:val="center"/>
            </w:pPr>
            <w:r>
              <w:t>10</w:t>
            </w:r>
          </w:p>
        </w:tc>
      </w:tr>
      <w:tr w:rsidR="00E41C93" w14:paraId="33B7E199" w14:textId="77777777" w:rsidTr="00E41C93">
        <w:trPr>
          <w:trHeight w:val="270"/>
        </w:trPr>
        <w:tc>
          <w:tcPr>
            <w:tcW w:w="6174" w:type="dxa"/>
          </w:tcPr>
          <w:p w14:paraId="60288A27" w14:textId="07E469EE" w:rsidR="00E41C93" w:rsidRDefault="00E41C93" w:rsidP="008956C7">
            <w:r>
              <w:t>Field work (data collection &amp; interviews)</w:t>
            </w:r>
          </w:p>
        </w:tc>
        <w:tc>
          <w:tcPr>
            <w:tcW w:w="2770" w:type="dxa"/>
          </w:tcPr>
          <w:p w14:paraId="1EC2D6D1" w14:textId="2CD9DC98" w:rsidR="00E41C93" w:rsidRDefault="00E41C93" w:rsidP="008956C7">
            <w:pPr>
              <w:jc w:val="center"/>
            </w:pPr>
            <w:r>
              <w:t>14</w:t>
            </w:r>
          </w:p>
        </w:tc>
      </w:tr>
      <w:tr w:rsidR="00E41C93" w14:paraId="4CAF5F1C" w14:textId="36D32908" w:rsidTr="00E41C93">
        <w:trPr>
          <w:trHeight w:val="255"/>
        </w:trPr>
        <w:tc>
          <w:tcPr>
            <w:tcW w:w="6174" w:type="dxa"/>
          </w:tcPr>
          <w:p w14:paraId="73706820" w14:textId="50799B50" w:rsidR="00E41C93" w:rsidRDefault="00E41C93" w:rsidP="002A55C4">
            <w:r>
              <w:lastRenderedPageBreak/>
              <w:t>Data analysis</w:t>
            </w:r>
          </w:p>
        </w:tc>
        <w:tc>
          <w:tcPr>
            <w:tcW w:w="2770" w:type="dxa"/>
          </w:tcPr>
          <w:p w14:paraId="5DD9FBEF" w14:textId="4E67ABEE" w:rsidR="00E41C93" w:rsidRDefault="00E41C93" w:rsidP="002A55C4">
            <w:pPr>
              <w:jc w:val="center"/>
            </w:pPr>
            <w:r>
              <w:t>5</w:t>
            </w:r>
          </w:p>
        </w:tc>
      </w:tr>
      <w:tr w:rsidR="00E41C93" w14:paraId="3D2EDF73" w14:textId="6543C7E8" w:rsidTr="00E41C93">
        <w:trPr>
          <w:trHeight w:val="255"/>
        </w:trPr>
        <w:tc>
          <w:tcPr>
            <w:tcW w:w="6174" w:type="dxa"/>
          </w:tcPr>
          <w:p w14:paraId="645AF054" w14:textId="42EDAC25" w:rsidR="00E41C93" w:rsidRDefault="00E41C93" w:rsidP="002A55C4">
            <w:r>
              <w:t>Report writing</w:t>
            </w:r>
          </w:p>
        </w:tc>
        <w:tc>
          <w:tcPr>
            <w:tcW w:w="2770" w:type="dxa"/>
          </w:tcPr>
          <w:p w14:paraId="7458EED0" w14:textId="137AA74C" w:rsidR="00E41C93" w:rsidRDefault="00E41C93" w:rsidP="002A55C4">
            <w:pPr>
              <w:jc w:val="center"/>
            </w:pPr>
            <w:r>
              <w:t>5</w:t>
            </w:r>
          </w:p>
        </w:tc>
      </w:tr>
      <w:tr w:rsidR="00E41C93" w14:paraId="28A60927" w14:textId="2544905C" w:rsidTr="00E41C93">
        <w:trPr>
          <w:trHeight w:val="255"/>
        </w:trPr>
        <w:tc>
          <w:tcPr>
            <w:tcW w:w="6174" w:type="dxa"/>
          </w:tcPr>
          <w:p w14:paraId="55BD625C" w14:textId="7AA4361F" w:rsidR="00E41C93" w:rsidRDefault="00E41C93" w:rsidP="002A55C4">
            <w:r>
              <w:t>Feedback meeting (potentially online)</w:t>
            </w:r>
          </w:p>
        </w:tc>
        <w:tc>
          <w:tcPr>
            <w:tcW w:w="2770" w:type="dxa"/>
          </w:tcPr>
          <w:p w14:paraId="5262DDD5" w14:textId="6370C06F" w:rsidR="00E41C93" w:rsidRDefault="00E41C93" w:rsidP="002A55C4">
            <w:pPr>
              <w:jc w:val="center"/>
            </w:pPr>
            <w:r>
              <w:t>1</w:t>
            </w:r>
          </w:p>
        </w:tc>
      </w:tr>
      <w:tr w:rsidR="00E41C93" w14:paraId="10171A78" w14:textId="77777777" w:rsidTr="00E41C93">
        <w:trPr>
          <w:trHeight w:val="255"/>
        </w:trPr>
        <w:tc>
          <w:tcPr>
            <w:tcW w:w="6174" w:type="dxa"/>
          </w:tcPr>
          <w:p w14:paraId="0B657DF3" w14:textId="483DAE34" w:rsidR="00E41C93" w:rsidRDefault="00E41C93" w:rsidP="002A55C4">
            <w:r>
              <w:t>Preparing national conference presentation</w:t>
            </w:r>
          </w:p>
        </w:tc>
        <w:tc>
          <w:tcPr>
            <w:tcW w:w="2770" w:type="dxa"/>
          </w:tcPr>
          <w:p w14:paraId="673C51B2" w14:textId="0150DD6E" w:rsidR="00E41C93" w:rsidRDefault="00E41C93" w:rsidP="002A55C4">
            <w:pPr>
              <w:jc w:val="center"/>
            </w:pPr>
            <w:r>
              <w:t>1</w:t>
            </w:r>
          </w:p>
        </w:tc>
      </w:tr>
      <w:tr w:rsidR="00E41C93" w14:paraId="75AEEE4A" w14:textId="77777777" w:rsidTr="00E41C93">
        <w:trPr>
          <w:trHeight w:val="255"/>
        </w:trPr>
        <w:tc>
          <w:tcPr>
            <w:tcW w:w="6174" w:type="dxa"/>
          </w:tcPr>
          <w:p w14:paraId="7969FA7C" w14:textId="4BE2BFF9" w:rsidR="00E41C93" w:rsidRDefault="00E41C93" w:rsidP="002A55C4">
            <w:r>
              <w:t>National conference (potentially online)</w:t>
            </w:r>
          </w:p>
        </w:tc>
        <w:tc>
          <w:tcPr>
            <w:tcW w:w="2770" w:type="dxa"/>
          </w:tcPr>
          <w:p w14:paraId="3AC0133D" w14:textId="51978046" w:rsidR="00E41C93" w:rsidRDefault="00E41C93" w:rsidP="002A55C4">
            <w:pPr>
              <w:jc w:val="center"/>
            </w:pPr>
            <w:r>
              <w:t>1</w:t>
            </w:r>
          </w:p>
        </w:tc>
      </w:tr>
      <w:tr w:rsidR="00E41C93" w14:paraId="7F912003" w14:textId="77777777" w:rsidTr="00E41C93">
        <w:trPr>
          <w:trHeight w:val="255"/>
        </w:trPr>
        <w:tc>
          <w:tcPr>
            <w:tcW w:w="6174" w:type="dxa"/>
          </w:tcPr>
          <w:p w14:paraId="688FA3C2" w14:textId="58B8B5D7" w:rsidR="00E41C93" w:rsidRPr="00D67C7C" w:rsidRDefault="00E41C93" w:rsidP="002A55C4">
            <w:pPr>
              <w:rPr>
                <w:i/>
                <w:iCs/>
              </w:rPr>
            </w:pPr>
            <w:r>
              <w:rPr>
                <w:i/>
                <w:iCs/>
              </w:rPr>
              <w:t>Total estimated consultancy days</w:t>
            </w:r>
          </w:p>
        </w:tc>
        <w:tc>
          <w:tcPr>
            <w:tcW w:w="2770" w:type="dxa"/>
          </w:tcPr>
          <w:p w14:paraId="77A13C3E" w14:textId="56AF6F8C" w:rsidR="00E41C93" w:rsidRPr="006F285E" w:rsidRDefault="00E41C93" w:rsidP="002A55C4">
            <w:pPr>
              <w:jc w:val="center"/>
              <w:rPr>
                <w:b/>
                <w:bCs/>
              </w:rPr>
            </w:pPr>
            <w:r w:rsidRPr="006F285E">
              <w:rPr>
                <w:b/>
                <w:bCs/>
              </w:rPr>
              <w:t>40</w:t>
            </w:r>
          </w:p>
        </w:tc>
      </w:tr>
    </w:tbl>
    <w:p w14:paraId="79E42349" w14:textId="77777777" w:rsidR="00E60DA7" w:rsidRDefault="00E60DA7" w:rsidP="00E60DA7">
      <w:pPr>
        <w:pStyle w:val="NoSpacing"/>
        <w:jc w:val="both"/>
      </w:pPr>
    </w:p>
    <w:p w14:paraId="74F4680E" w14:textId="7018EA8A" w:rsidR="0027429C" w:rsidRPr="00733707" w:rsidRDefault="00090759" w:rsidP="00594939">
      <w:pPr>
        <w:pStyle w:val="Heading1"/>
        <w:numPr>
          <w:ilvl w:val="0"/>
          <w:numId w:val="2"/>
        </w:numPr>
        <w:jc w:val="both"/>
        <w:rPr>
          <w:b/>
          <w:bCs/>
          <w:color w:val="auto"/>
        </w:rPr>
      </w:pPr>
      <w:r w:rsidRPr="00733707">
        <w:rPr>
          <w:b/>
          <w:bCs/>
          <w:color w:val="auto"/>
        </w:rPr>
        <w:t>Profile and qualification of the consultant</w:t>
      </w:r>
    </w:p>
    <w:p w14:paraId="6D445ADA" w14:textId="6472AB5B" w:rsidR="00621C78" w:rsidRPr="00A95FEA" w:rsidRDefault="00A95FEA" w:rsidP="00594939">
      <w:pPr>
        <w:pStyle w:val="NoSpacing"/>
        <w:jc w:val="both"/>
      </w:pPr>
      <w:r>
        <w:t xml:space="preserve">The consultant </w:t>
      </w:r>
      <w:r w:rsidR="000743C9">
        <w:t xml:space="preserve">has to fulfil the following qualifications to be eligible for the </w:t>
      </w:r>
      <w:r w:rsidR="00621C78">
        <w:t>task:</w:t>
      </w:r>
    </w:p>
    <w:p w14:paraId="5F71A467" w14:textId="4010EBAC" w:rsidR="00066007" w:rsidRDefault="002C6F4F" w:rsidP="00594939">
      <w:pPr>
        <w:pStyle w:val="NoSpacing"/>
        <w:numPr>
          <w:ilvl w:val="0"/>
          <w:numId w:val="13"/>
        </w:numPr>
        <w:jc w:val="both"/>
      </w:pPr>
      <w:r>
        <w:t>Master's degree in a branch of law or other relevant field with at least 10 years of experience</w:t>
      </w:r>
      <w:r w:rsidR="00621C78">
        <w:t>;</w:t>
      </w:r>
    </w:p>
    <w:p w14:paraId="642E0D42" w14:textId="087A7873" w:rsidR="00621C78" w:rsidRPr="00066007" w:rsidRDefault="00621C78" w:rsidP="00594939">
      <w:pPr>
        <w:pStyle w:val="NoSpacing"/>
        <w:numPr>
          <w:ilvl w:val="0"/>
          <w:numId w:val="13"/>
        </w:numPr>
        <w:jc w:val="both"/>
      </w:pPr>
      <w:r>
        <w:t xml:space="preserve">Experience </w:t>
      </w:r>
      <w:r w:rsidR="00AF4CD9">
        <w:t>working in East-Africa, preferable experience in Burundi;</w:t>
      </w:r>
    </w:p>
    <w:p w14:paraId="72B0B1B5" w14:textId="015E6B38" w:rsidR="002C6F4F" w:rsidRDefault="002C6F4F" w:rsidP="00594939">
      <w:pPr>
        <w:pStyle w:val="NoSpacing"/>
        <w:numPr>
          <w:ilvl w:val="0"/>
          <w:numId w:val="14"/>
        </w:numPr>
        <w:jc w:val="both"/>
      </w:pPr>
      <w:r>
        <w:t>Demonstrate</w:t>
      </w:r>
      <w:r w:rsidR="00066007">
        <w:t>d</w:t>
      </w:r>
      <w:r>
        <w:t xml:space="preserve"> strong experience in </w:t>
      </w:r>
      <w:r w:rsidR="00383F4E">
        <w:t xml:space="preserve">conducting project baseline studies and </w:t>
      </w:r>
      <w:r>
        <w:t>evaluation</w:t>
      </w:r>
      <w:r w:rsidR="00066007">
        <w:t>s</w:t>
      </w:r>
      <w:r w:rsidR="00383F4E">
        <w:t>;</w:t>
      </w:r>
      <w:r>
        <w:t xml:space="preserve"> </w:t>
      </w:r>
    </w:p>
    <w:p w14:paraId="7F9E6815" w14:textId="409703AF" w:rsidR="002C6F4F" w:rsidRDefault="002C6F4F" w:rsidP="00594939">
      <w:pPr>
        <w:pStyle w:val="NoSpacing"/>
        <w:numPr>
          <w:ilvl w:val="0"/>
          <w:numId w:val="14"/>
        </w:numPr>
        <w:jc w:val="both"/>
      </w:pPr>
      <w:r>
        <w:t xml:space="preserve">Have a good command of evaluation tools and quantitative and qualitative </w:t>
      </w:r>
      <w:r w:rsidR="00383F4E">
        <w:t>methodologies;</w:t>
      </w:r>
    </w:p>
    <w:p w14:paraId="1398D72A" w14:textId="42C128AA" w:rsidR="002C6F4F" w:rsidRDefault="00383F4E" w:rsidP="00594939">
      <w:pPr>
        <w:pStyle w:val="NoSpacing"/>
        <w:numPr>
          <w:ilvl w:val="0"/>
          <w:numId w:val="14"/>
        </w:numPr>
        <w:jc w:val="both"/>
      </w:pPr>
      <w:r>
        <w:t>G</w:t>
      </w:r>
      <w:r w:rsidR="002C6F4F">
        <w:t>ood knowledge of the land tenure security process and its challenges</w:t>
      </w:r>
      <w:r w:rsidR="00AF4CD9">
        <w:t xml:space="preserve"> in Burundi</w:t>
      </w:r>
      <w:r>
        <w:t xml:space="preserve"> and </w:t>
      </w:r>
      <w:r w:rsidR="002C6F4F">
        <w:t xml:space="preserve">solid knowledge in the land tenure field </w:t>
      </w:r>
      <w:r>
        <w:t>in general;</w:t>
      </w:r>
    </w:p>
    <w:p w14:paraId="69831AEE" w14:textId="0D891C99" w:rsidR="002C6F4F" w:rsidRDefault="002C6F4F" w:rsidP="00594939">
      <w:pPr>
        <w:pStyle w:val="NoSpacing"/>
        <w:numPr>
          <w:ilvl w:val="0"/>
          <w:numId w:val="14"/>
        </w:numPr>
        <w:jc w:val="both"/>
      </w:pPr>
      <w:r>
        <w:t>Have relevant experience in gender</w:t>
      </w:r>
      <w:r w:rsidR="00AF4CD9">
        <w:t xml:space="preserve">, </w:t>
      </w:r>
      <w:r w:rsidR="00DB5148">
        <w:t xml:space="preserve">conflict </w:t>
      </w:r>
      <w:r w:rsidR="00AF4CD9">
        <w:t xml:space="preserve">and legal framework </w:t>
      </w:r>
      <w:r w:rsidR="00DB5148">
        <w:t>analyses;</w:t>
      </w:r>
    </w:p>
    <w:p w14:paraId="65AD10E6" w14:textId="30FB5B4E" w:rsidR="002C6F4F" w:rsidRDefault="002C6F4F" w:rsidP="00594939">
      <w:pPr>
        <w:pStyle w:val="NoSpacing"/>
        <w:numPr>
          <w:ilvl w:val="0"/>
          <w:numId w:val="14"/>
        </w:numPr>
        <w:jc w:val="both"/>
      </w:pPr>
      <w:r>
        <w:t>Have a satisfactory experience of collaboration with the technical services of the State, the courts, the United Nations system, NGOs</w:t>
      </w:r>
      <w:r w:rsidR="00DB5148">
        <w:t>.</w:t>
      </w:r>
    </w:p>
    <w:p w14:paraId="4AF1D07A" w14:textId="3F3A44D6" w:rsidR="00744CED" w:rsidRDefault="002C6F4F" w:rsidP="00594939">
      <w:pPr>
        <w:pStyle w:val="NoSpacing"/>
        <w:numPr>
          <w:ilvl w:val="0"/>
          <w:numId w:val="15"/>
        </w:numPr>
        <w:jc w:val="both"/>
      </w:pPr>
      <w:r>
        <w:t xml:space="preserve">A perfect command of </w:t>
      </w:r>
      <w:r w:rsidR="00DB5148">
        <w:t xml:space="preserve">English and </w:t>
      </w:r>
      <w:r>
        <w:t>French is essential.</w:t>
      </w:r>
    </w:p>
    <w:p w14:paraId="2222A8D8" w14:textId="00A17275" w:rsidR="00744CED" w:rsidRPr="00733707" w:rsidRDefault="00BD52CC" w:rsidP="00594939">
      <w:pPr>
        <w:pStyle w:val="Heading1"/>
        <w:numPr>
          <w:ilvl w:val="0"/>
          <w:numId w:val="2"/>
        </w:numPr>
        <w:jc w:val="both"/>
        <w:rPr>
          <w:b/>
          <w:bCs/>
          <w:color w:val="auto"/>
        </w:rPr>
      </w:pPr>
      <w:r>
        <w:rPr>
          <w:b/>
          <w:bCs/>
          <w:color w:val="auto"/>
        </w:rPr>
        <w:t xml:space="preserve">Recruitment process &amp; </w:t>
      </w:r>
      <w:r w:rsidR="0085382E" w:rsidRPr="00733707">
        <w:rPr>
          <w:b/>
          <w:bCs/>
          <w:color w:val="auto"/>
        </w:rPr>
        <w:t>How to apply</w:t>
      </w:r>
    </w:p>
    <w:p w14:paraId="2DD142E5" w14:textId="79EB1685" w:rsidR="00BD52CC" w:rsidRDefault="00BD52CC" w:rsidP="00594939">
      <w:pPr>
        <w:jc w:val="both"/>
      </w:pPr>
      <w:r>
        <w:t>The recruitment process will take place in two phases:</w:t>
      </w:r>
    </w:p>
    <w:p w14:paraId="7B879EF0" w14:textId="4264A396" w:rsidR="00472B93" w:rsidRDefault="00472B93" w:rsidP="00DE1AFF">
      <w:pPr>
        <w:pStyle w:val="ListParagraph"/>
        <w:numPr>
          <w:ilvl w:val="0"/>
          <w:numId w:val="17"/>
        </w:numPr>
        <w:jc w:val="both"/>
      </w:pPr>
      <w:r w:rsidRPr="00472B93">
        <w:rPr>
          <w:b/>
          <w:bCs/>
        </w:rPr>
        <w:t>Phase 1</w:t>
      </w:r>
      <w:r>
        <w:t xml:space="preserve">: </w:t>
      </w:r>
      <w:r w:rsidR="00BD52CC">
        <w:t xml:space="preserve">Interested </w:t>
      </w:r>
      <w:r w:rsidR="00393527">
        <w:t>consultants</w:t>
      </w:r>
      <w:r w:rsidR="00BD52CC">
        <w:t xml:space="preserve"> should submit their </w:t>
      </w:r>
      <w:r w:rsidR="00393527">
        <w:t xml:space="preserve">motivation </w:t>
      </w:r>
      <w:r w:rsidR="00BD52CC">
        <w:t xml:space="preserve">letter and </w:t>
      </w:r>
      <w:r w:rsidR="00D67C7C">
        <w:t xml:space="preserve">updated </w:t>
      </w:r>
      <w:r w:rsidR="00BD52CC">
        <w:t>CV</w:t>
      </w:r>
      <w:r w:rsidR="00D5070D">
        <w:t xml:space="preserve">, </w:t>
      </w:r>
      <w:r w:rsidR="00393527">
        <w:t xml:space="preserve">the </w:t>
      </w:r>
      <w:r w:rsidR="00D5070D">
        <w:t>esti</w:t>
      </w:r>
      <w:r w:rsidR="00393527">
        <w:t>m</w:t>
      </w:r>
      <w:r w:rsidR="00D5070D">
        <w:t>at</w:t>
      </w:r>
      <w:r w:rsidR="00393527">
        <w:t xml:space="preserve">e </w:t>
      </w:r>
      <w:r w:rsidR="00D5070D">
        <w:t xml:space="preserve">of the </w:t>
      </w:r>
      <w:r w:rsidR="00393527">
        <w:t xml:space="preserve">total </w:t>
      </w:r>
      <w:r w:rsidR="00D5070D">
        <w:t xml:space="preserve">number of days needed for the work </w:t>
      </w:r>
      <w:r w:rsidR="00393527">
        <w:t>(including an indication of their daily fee)</w:t>
      </w:r>
      <w:r w:rsidR="00D5070D">
        <w:t xml:space="preserve"> </w:t>
      </w:r>
      <w:r w:rsidR="00823CE5">
        <w:rPr>
          <w:b/>
          <w:bCs/>
        </w:rPr>
        <w:t xml:space="preserve">latest on the </w:t>
      </w:r>
      <w:r w:rsidR="00934A65">
        <w:rPr>
          <w:b/>
          <w:bCs/>
        </w:rPr>
        <w:t>28</w:t>
      </w:r>
      <w:r w:rsidR="00823CE5" w:rsidRPr="00823CE5">
        <w:rPr>
          <w:b/>
          <w:bCs/>
          <w:vertAlign w:val="superscript"/>
        </w:rPr>
        <w:t>th</w:t>
      </w:r>
      <w:r w:rsidR="00823CE5">
        <w:rPr>
          <w:b/>
          <w:bCs/>
        </w:rPr>
        <w:t xml:space="preserve"> of </w:t>
      </w:r>
      <w:r w:rsidRPr="00472B93">
        <w:rPr>
          <w:b/>
          <w:bCs/>
        </w:rPr>
        <w:t>January 2022</w:t>
      </w:r>
      <w:r w:rsidR="00823CE5">
        <w:rPr>
          <w:b/>
          <w:bCs/>
        </w:rPr>
        <w:t xml:space="preserve"> </w:t>
      </w:r>
      <w:r>
        <w:t>to the Head of Mission of ZOA</w:t>
      </w:r>
      <w:r w:rsidR="00A71414">
        <w:t>-</w:t>
      </w:r>
      <w:r>
        <w:t>Burundi</w:t>
      </w:r>
      <w:r w:rsidR="0081412C">
        <w:t xml:space="preserve"> </w:t>
      </w:r>
      <w:r w:rsidR="00DE1AFF">
        <w:t>(</w:t>
      </w:r>
      <w:r>
        <w:t>Herman Kamphuis</w:t>
      </w:r>
      <w:r w:rsidR="00DE1AFF">
        <w:t>,</w:t>
      </w:r>
      <w:r>
        <w:t xml:space="preserve"> </w:t>
      </w:r>
      <w:hyperlink r:id="rId9" w:history="1">
        <w:r w:rsidRPr="00433136">
          <w:rPr>
            <w:rStyle w:val="Hyperlink"/>
          </w:rPr>
          <w:t>h.kamphuis@zoa.ngo</w:t>
        </w:r>
      </w:hyperlink>
      <w:r w:rsidR="0081412C">
        <w:rPr>
          <w:rStyle w:val="Hyperlink"/>
        </w:rPr>
        <w:t>)</w:t>
      </w:r>
      <w:r w:rsidR="005F5CDD">
        <w:rPr>
          <w:rStyle w:val="Hyperlink"/>
          <w:u w:val="none"/>
        </w:rPr>
        <w:t xml:space="preserve"> </w:t>
      </w:r>
      <w:r w:rsidR="0081412C">
        <w:t xml:space="preserve">and </w:t>
      </w:r>
      <w:r w:rsidR="00866FF1">
        <w:t xml:space="preserve">the </w:t>
      </w:r>
      <w:r w:rsidR="0081412C">
        <w:t>ZOA Sector</w:t>
      </w:r>
      <w:r w:rsidR="00866FF1">
        <w:t xml:space="preserve"> Specialist Land Rights</w:t>
      </w:r>
      <w:r w:rsidR="0081412C">
        <w:t xml:space="preserve"> </w:t>
      </w:r>
      <w:r w:rsidR="0081412C">
        <w:rPr>
          <w:rStyle w:val="Hyperlink"/>
          <w:color w:val="auto"/>
          <w:u w:val="none"/>
        </w:rPr>
        <w:t>(</w:t>
      </w:r>
      <w:r w:rsidR="005F5CDD" w:rsidRPr="0081412C">
        <w:rPr>
          <w:rStyle w:val="Hyperlink"/>
          <w:color w:val="auto"/>
          <w:u w:val="none"/>
        </w:rPr>
        <w:t>Alexandra ‘t Lam</w:t>
      </w:r>
      <w:r w:rsidR="0081412C">
        <w:rPr>
          <w:rStyle w:val="Hyperlink"/>
          <w:u w:val="none"/>
        </w:rPr>
        <w:t xml:space="preserve">, </w:t>
      </w:r>
      <w:hyperlink r:id="rId10" w:history="1">
        <w:r w:rsidR="0081412C" w:rsidRPr="00AC288E">
          <w:rPr>
            <w:rStyle w:val="Hyperlink"/>
          </w:rPr>
          <w:t>a.tlam@zoa.ngo</w:t>
        </w:r>
      </w:hyperlink>
      <w:r w:rsidR="00DE1AFF">
        <w:t>).</w:t>
      </w:r>
    </w:p>
    <w:p w14:paraId="2AAD598D" w14:textId="77777777" w:rsidR="00D62ABD" w:rsidRDefault="00D62ABD" w:rsidP="00D62ABD">
      <w:pPr>
        <w:pStyle w:val="ListParagraph"/>
        <w:jc w:val="both"/>
      </w:pPr>
    </w:p>
    <w:p w14:paraId="3BDA819F" w14:textId="45C54148" w:rsidR="0081412C" w:rsidRDefault="00472B93" w:rsidP="0081412C">
      <w:pPr>
        <w:pStyle w:val="ListParagraph"/>
        <w:numPr>
          <w:ilvl w:val="0"/>
          <w:numId w:val="17"/>
        </w:numPr>
        <w:jc w:val="both"/>
      </w:pPr>
      <w:r w:rsidRPr="00472B93">
        <w:rPr>
          <w:b/>
          <w:bCs/>
        </w:rPr>
        <w:t>Phase 2</w:t>
      </w:r>
      <w:r>
        <w:rPr>
          <w:b/>
          <w:bCs/>
        </w:rPr>
        <w:t xml:space="preserve">: </w:t>
      </w:r>
      <w:r w:rsidR="00A71414">
        <w:t xml:space="preserve">not later than </w:t>
      </w:r>
      <w:r w:rsidR="00934A65">
        <w:t>the 2</w:t>
      </w:r>
      <w:r w:rsidR="00934A65" w:rsidRPr="00934A65">
        <w:rPr>
          <w:vertAlign w:val="superscript"/>
        </w:rPr>
        <w:t>nd</w:t>
      </w:r>
      <w:r w:rsidR="00934A65">
        <w:t xml:space="preserve"> of February</w:t>
      </w:r>
      <w:r w:rsidR="00A71414">
        <w:t xml:space="preserve"> 2022, </w:t>
      </w:r>
      <w:r w:rsidR="00D66B8F" w:rsidRPr="00D62ABD">
        <w:rPr>
          <w:u w:val="single"/>
        </w:rPr>
        <w:t>two</w:t>
      </w:r>
      <w:r w:rsidR="00D66B8F" w:rsidRPr="0023504D">
        <w:t xml:space="preserve"> </w:t>
      </w:r>
      <w:r w:rsidR="0023504D">
        <w:t xml:space="preserve">consultants </w:t>
      </w:r>
      <w:r w:rsidR="00D66B8F">
        <w:t xml:space="preserve">will be asked to elaborate their full </w:t>
      </w:r>
      <w:r w:rsidR="00C526FE">
        <w:t>proposal</w:t>
      </w:r>
      <w:r w:rsidR="0023504D">
        <w:t xml:space="preserve"> for the baseline (</w:t>
      </w:r>
      <w:r w:rsidR="0023504D" w:rsidRPr="00FC5BA2">
        <w:t xml:space="preserve">indicating approach, methodologies, time frame and associated </w:t>
      </w:r>
      <w:r w:rsidR="00866FF1">
        <w:t xml:space="preserve"> </w:t>
      </w:r>
      <w:r w:rsidR="0023504D" w:rsidRPr="00FC5BA2">
        <w:t>costs)</w:t>
      </w:r>
      <w:r w:rsidR="0023504D">
        <w:rPr>
          <w:rFonts w:ascii="Arial" w:hAnsi="Arial" w:cs="Arial"/>
          <w:sz w:val="20"/>
          <w:szCs w:val="20"/>
        </w:rPr>
        <w:t xml:space="preserve"> </w:t>
      </w:r>
      <w:r w:rsidR="009144DB">
        <w:t xml:space="preserve">for submission </w:t>
      </w:r>
      <w:r w:rsidR="0030720F">
        <w:t xml:space="preserve">before the </w:t>
      </w:r>
      <w:r w:rsidR="00934A65">
        <w:rPr>
          <w:b/>
          <w:bCs/>
        </w:rPr>
        <w:t>25</w:t>
      </w:r>
      <w:r w:rsidR="0030720F" w:rsidRPr="0030720F">
        <w:rPr>
          <w:b/>
          <w:bCs/>
          <w:vertAlign w:val="superscript"/>
        </w:rPr>
        <w:t>th</w:t>
      </w:r>
      <w:r w:rsidR="0030720F" w:rsidRPr="0030720F">
        <w:rPr>
          <w:b/>
          <w:bCs/>
        </w:rPr>
        <w:t xml:space="preserve"> of February 2022</w:t>
      </w:r>
      <w:r w:rsidR="0030720F">
        <w:t xml:space="preserve"> to the Head of Mission of ZOA</w:t>
      </w:r>
      <w:r w:rsidR="00DE1AFF">
        <w:t>-</w:t>
      </w:r>
      <w:r w:rsidR="0030720F">
        <w:t xml:space="preserve">Burundi </w:t>
      </w:r>
      <w:r w:rsidR="00DE1AFF">
        <w:t>(</w:t>
      </w:r>
      <w:r w:rsidR="0030720F">
        <w:t>Herman Kamphuis</w:t>
      </w:r>
      <w:r w:rsidR="00DE1AFF">
        <w:t>,</w:t>
      </w:r>
      <w:r w:rsidR="0030720F">
        <w:t xml:space="preserve"> </w:t>
      </w:r>
      <w:hyperlink r:id="rId11" w:history="1">
        <w:r w:rsidR="0030720F" w:rsidRPr="00433136">
          <w:rPr>
            <w:rStyle w:val="Hyperlink"/>
          </w:rPr>
          <w:t>h.kamphuis@zoa.ngo</w:t>
        </w:r>
      </w:hyperlink>
      <w:r w:rsidR="00DE1AFF">
        <w:t>)</w:t>
      </w:r>
      <w:r w:rsidR="0081412C">
        <w:t xml:space="preserve"> and </w:t>
      </w:r>
      <w:r w:rsidR="00866FF1">
        <w:t xml:space="preserve">the </w:t>
      </w:r>
      <w:r w:rsidR="0081412C">
        <w:t xml:space="preserve">ZOA Sector Specialist Land Rights </w:t>
      </w:r>
      <w:r w:rsidR="0081412C">
        <w:rPr>
          <w:rStyle w:val="Hyperlink"/>
          <w:color w:val="auto"/>
          <w:u w:val="none"/>
        </w:rPr>
        <w:t>(</w:t>
      </w:r>
      <w:r w:rsidR="0081412C" w:rsidRPr="0081412C">
        <w:rPr>
          <w:rStyle w:val="Hyperlink"/>
          <w:color w:val="auto"/>
          <w:u w:val="none"/>
        </w:rPr>
        <w:t>Alexandra ‘t Lam</w:t>
      </w:r>
      <w:r w:rsidR="0081412C">
        <w:rPr>
          <w:rStyle w:val="Hyperlink"/>
          <w:u w:val="none"/>
        </w:rPr>
        <w:t xml:space="preserve">, </w:t>
      </w:r>
      <w:hyperlink r:id="rId12" w:history="1">
        <w:r w:rsidR="0081412C" w:rsidRPr="00AC288E">
          <w:rPr>
            <w:rStyle w:val="Hyperlink"/>
          </w:rPr>
          <w:t>a.tlam@zoa.ngo</w:t>
        </w:r>
      </w:hyperlink>
      <w:r w:rsidR="0081412C">
        <w:t>).</w:t>
      </w:r>
    </w:p>
    <w:p w14:paraId="61B98D96" w14:textId="1DC6CD18" w:rsidR="00DB392C" w:rsidRDefault="00DB392C" w:rsidP="0081412C">
      <w:pPr>
        <w:pStyle w:val="ListParagraph"/>
        <w:jc w:val="both"/>
      </w:pPr>
      <w:r>
        <w:t xml:space="preserve">The Technical proposal should include a clear workplan that ensures the purpose of the baseline study is </w:t>
      </w:r>
      <w:r w:rsidR="00E2142F">
        <w:t>accurately addressed. The financial proposal should include a cost breakdown of the baseline study</w:t>
      </w:r>
      <w:r w:rsidR="00E95A5E">
        <w:t>.</w:t>
      </w:r>
    </w:p>
    <w:p w14:paraId="2A31F9FB" w14:textId="69E9E680" w:rsidR="0085382E" w:rsidRPr="0085382E" w:rsidRDefault="0085382E" w:rsidP="00E95A5E">
      <w:pPr>
        <w:jc w:val="both"/>
      </w:pPr>
      <w:r>
        <w:t xml:space="preserve">The </w:t>
      </w:r>
      <w:r w:rsidR="00D67C7C">
        <w:t xml:space="preserve">report of the </w:t>
      </w:r>
      <w:r>
        <w:t xml:space="preserve">baseline study </w:t>
      </w:r>
      <w:r w:rsidR="00D67C7C">
        <w:t>should be submitted by the 1</w:t>
      </w:r>
      <w:r w:rsidR="00D67C7C" w:rsidRPr="00D67C7C">
        <w:rPr>
          <w:vertAlign w:val="superscript"/>
        </w:rPr>
        <w:t>st</w:t>
      </w:r>
      <w:r w:rsidR="00D67C7C">
        <w:t xml:space="preserve"> of </w:t>
      </w:r>
      <w:r w:rsidR="00112F61">
        <w:t>June</w:t>
      </w:r>
      <w:r w:rsidR="00D67C7C">
        <w:t xml:space="preserve"> 2022 latest. </w:t>
      </w:r>
      <w:r>
        <w:t xml:space="preserve"> </w:t>
      </w:r>
    </w:p>
    <w:sectPr w:rsidR="0085382E" w:rsidRPr="0085382E" w:rsidSect="008378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05210" w14:textId="77777777" w:rsidR="00C927FE" w:rsidRDefault="00C927FE" w:rsidP="00C927FE">
      <w:pPr>
        <w:spacing w:after="0" w:line="240" w:lineRule="auto"/>
      </w:pPr>
      <w:r>
        <w:separator/>
      </w:r>
    </w:p>
  </w:endnote>
  <w:endnote w:type="continuationSeparator" w:id="0">
    <w:p w14:paraId="1459616A" w14:textId="77777777" w:rsidR="00C927FE" w:rsidRDefault="00C927FE" w:rsidP="00C9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4C1E" w14:textId="77777777" w:rsidR="00C927FE" w:rsidRDefault="00C927FE" w:rsidP="00C927FE">
      <w:pPr>
        <w:spacing w:after="0" w:line="240" w:lineRule="auto"/>
      </w:pPr>
      <w:r>
        <w:separator/>
      </w:r>
    </w:p>
  </w:footnote>
  <w:footnote w:type="continuationSeparator" w:id="0">
    <w:p w14:paraId="6CA3ADB4" w14:textId="77777777" w:rsidR="00C927FE" w:rsidRDefault="00C927FE" w:rsidP="00C927FE">
      <w:pPr>
        <w:spacing w:after="0" w:line="240" w:lineRule="auto"/>
      </w:pPr>
      <w:r>
        <w:continuationSeparator/>
      </w:r>
    </w:p>
  </w:footnote>
  <w:footnote w:id="1">
    <w:p w14:paraId="359F5B80" w14:textId="44C7F19E" w:rsidR="00C927FE" w:rsidRDefault="00C927FE">
      <w:pPr>
        <w:pStyle w:val="FootnoteText"/>
      </w:pPr>
      <w:r>
        <w:rPr>
          <w:rStyle w:val="FootnoteReference"/>
        </w:rPr>
        <w:footnoteRef/>
      </w:r>
      <w:r>
        <w:t xml:space="preserve"> ZOA has been conducting land rights projects in Makamba province since 2013 in the </w:t>
      </w:r>
      <w:r w:rsidR="0079721A">
        <w:t>district</w:t>
      </w:r>
      <w:r>
        <w:t xml:space="preserve">s Mabanda, Vugizo, Makamba, Kibago and Kayogoro.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67E3"/>
    <w:multiLevelType w:val="multilevel"/>
    <w:tmpl w:val="30BC266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863BCE"/>
    <w:multiLevelType w:val="hybridMultilevel"/>
    <w:tmpl w:val="0FE04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83FED"/>
    <w:multiLevelType w:val="hybridMultilevel"/>
    <w:tmpl w:val="67E08C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BF19D3"/>
    <w:multiLevelType w:val="multilevel"/>
    <w:tmpl w:val="F2625F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186F0E"/>
    <w:multiLevelType w:val="hybridMultilevel"/>
    <w:tmpl w:val="6E529E68"/>
    <w:lvl w:ilvl="0" w:tplc="B740C8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51EE5"/>
    <w:multiLevelType w:val="hybridMultilevel"/>
    <w:tmpl w:val="B0B22232"/>
    <w:lvl w:ilvl="0" w:tplc="CCC05F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E85"/>
    <w:multiLevelType w:val="hybridMultilevel"/>
    <w:tmpl w:val="ED846BB6"/>
    <w:lvl w:ilvl="0" w:tplc="89F2A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0382A"/>
    <w:multiLevelType w:val="hybridMultilevel"/>
    <w:tmpl w:val="D8280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1620A"/>
    <w:multiLevelType w:val="hybridMultilevel"/>
    <w:tmpl w:val="ADBEE878"/>
    <w:lvl w:ilvl="0" w:tplc="9F0883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2BDE"/>
    <w:multiLevelType w:val="hybridMultilevel"/>
    <w:tmpl w:val="396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41875"/>
    <w:multiLevelType w:val="hybridMultilevel"/>
    <w:tmpl w:val="7D9E7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948BB"/>
    <w:multiLevelType w:val="hybridMultilevel"/>
    <w:tmpl w:val="1E66A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6591"/>
    <w:multiLevelType w:val="hybridMultilevel"/>
    <w:tmpl w:val="4D7C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428E1"/>
    <w:multiLevelType w:val="hybridMultilevel"/>
    <w:tmpl w:val="0DDE72A6"/>
    <w:lvl w:ilvl="0" w:tplc="A418A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311BE"/>
    <w:multiLevelType w:val="hybridMultilevel"/>
    <w:tmpl w:val="0E24E3F4"/>
    <w:lvl w:ilvl="0" w:tplc="04090005">
      <w:start w:val="1"/>
      <w:numFmt w:val="bullet"/>
      <w:lvlText w:val=""/>
      <w:lvlJc w:val="left"/>
      <w:pPr>
        <w:ind w:left="720" w:hanging="360"/>
      </w:pPr>
      <w:rPr>
        <w:rFonts w:ascii="Wingdings" w:hAnsi="Wingdings" w:hint="default"/>
      </w:rPr>
    </w:lvl>
    <w:lvl w:ilvl="1" w:tplc="A38EFDD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D2EAB"/>
    <w:multiLevelType w:val="hybridMultilevel"/>
    <w:tmpl w:val="43FA2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E1E39"/>
    <w:multiLevelType w:val="hybridMultilevel"/>
    <w:tmpl w:val="3F7008E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2"/>
  </w:num>
  <w:num w:numId="5">
    <w:abstractNumId w:val="11"/>
  </w:num>
  <w:num w:numId="6">
    <w:abstractNumId w:val="1"/>
  </w:num>
  <w:num w:numId="7">
    <w:abstractNumId w:val="10"/>
  </w:num>
  <w:num w:numId="8">
    <w:abstractNumId w:val="6"/>
  </w:num>
  <w:num w:numId="9">
    <w:abstractNumId w:val="8"/>
  </w:num>
  <w:num w:numId="10">
    <w:abstractNumId w:val="4"/>
  </w:num>
  <w:num w:numId="11">
    <w:abstractNumId w:val="7"/>
  </w:num>
  <w:num w:numId="12">
    <w:abstractNumId w:val="5"/>
  </w:num>
  <w:num w:numId="13">
    <w:abstractNumId w:val="14"/>
  </w:num>
  <w:num w:numId="14">
    <w:abstractNumId w:val="16"/>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5E"/>
    <w:rsid w:val="00027594"/>
    <w:rsid w:val="000374C4"/>
    <w:rsid w:val="00041406"/>
    <w:rsid w:val="00066007"/>
    <w:rsid w:val="000743C9"/>
    <w:rsid w:val="00090759"/>
    <w:rsid w:val="000953E5"/>
    <w:rsid w:val="000D22EB"/>
    <w:rsid w:val="000D43DF"/>
    <w:rsid w:val="000D66CB"/>
    <w:rsid w:val="000E386A"/>
    <w:rsid w:val="000F3724"/>
    <w:rsid w:val="00105919"/>
    <w:rsid w:val="00111262"/>
    <w:rsid w:val="001129EC"/>
    <w:rsid w:val="00112F61"/>
    <w:rsid w:val="001318A6"/>
    <w:rsid w:val="0013193F"/>
    <w:rsid w:val="00142535"/>
    <w:rsid w:val="0015459A"/>
    <w:rsid w:val="00156821"/>
    <w:rsid w:val="00160796"/>
    <w:rsid w:val="0016450D"/>
    <w:rsid w:val="00181E9D"/>
    <w:rsid w:val="001958AA"/>
    <w:rsid w:val="001B12A1"/>
    <w:rsid w:val="001B38C4"/>
    <w:rsid w:val="001B5CBF"/>
    <w:rsid w:val="001B686D"/>
    <w:rsid w:val="001B733B"/>
    <w:rsid w:val="001C1E8E"/>
    <w:rsid w:val="001C2D4B"/>
    <w:rsid w:val="001D6AD6"/>
    <w:rsid w:val="001E27AA"/>
    <w:rsid w:val="001F4EB8"/>
    <w:rsid w:val="00201E7B"/>
    <w:rsid w:val="00233FFD"/>
    <w:rsid w:val="0023504D"/>
    <w:rsid w:val="00236D60"/>
    <w:rsid w:val="00260D3C"/>
    <w:rsid w:val="002612FA"/>
    <w:rsid w:val="00265048"/>
    <w:rsid w:val="0027429C"/>
    <w:rsid w:val="002A55C4"/>
    <w:rsid w:val="002B1B34"/>
    <w:rsid w:val="002C6F4F"/>
    <w:rsid w:val="002D0CD4"/>
    <w:rsid w:val="002D3833"/>
    <w:rsid w:val="002D4787"/>
    <w:rsid w:val="002E07F4"/>
    <w:rsid w:val="002E13A4"/>
    <w:rsid w:val="002F281A"/>
    <w:rsid w:val="002F41F9"/>
    <w:rsid w:val="003019F6"/>
    <w:rsid w:val="0030720F"/>
    <w:rsid w:val="00311333"/>
    <w:rsid w:val="003641CE"/>
    <w:rsid w:val="00380C81"/>
    <w:rsid w:val="00383F4E"/>
    <w:rsid w:val="00391D0F"/>
    <w:rsid w:val="00393527"/>
    <w:rsid w:val="003957AA"/>
    <w:rsid w:val="003B3CD7"/>
    <w:rsid w:val="003C7812"/>
    <w:rsid w:val="003D2FFA"/>
    <w:rsid w:val="003D50E1"/>
    <w:rsid w:val="004034D6"/>
    <w:rsid w:val="00412538"/>
    <w:rsid w:val="004179C5"/>
    <w:rsid w:val="00422B46"/>
    <w:rsid w:val="0045502A"/>
    <w:rsid w:val="004710C2"/>
    <w:rsid w:val="00472B93"/>
    <w:rsid w:val="0049585D"/>
    <w:rsid w:val="004A7FD3"/>
    <w:rsid w:val="004E245D"/>
    <w:rsid w:val="004F5C02"/>
    <w:rsid w:val="004F7D86"/>
    <w:rsid w:val="00507B6B"/>
    <w:rsid w:val="00512151"/>
    <w:rsid w:val="00512B40"/>
    <w:rsid w:val="00544E5C"/>
    <w:rsid w:val="00546D17"/>
    <w:rsid w:val="005824B5"/>
    <w:rsid w:val="00583B5C"/>
    <w:rsid w:val="00594939"/>
    <w:rsid w:val="005A5299"/>
    <w:rsid w:val="005A5E7C"/>
    <w:rsid w:val="005D15A9"/>
    <w:rsid w:val="005E20AD"/>
    <w:rsid w:val="005E425A"/>
    <w:rsid w:val="005F1DFB"/>
    <w:rsid w:val="005F5CDD"/>
    <w:rsid w:val="005F63DE"/>
    <w:rsid w:val="0060127B"/>
    <w:rsid w:val="006110A6"/>
    <w:rsid w:val="0062061D"/>
    <w:rsid w:val="00621C78"/>
    <w:rsid w:val="006223BF"/>
    <w:rsid w:val="006307E9"/>
    <w:rsid w:val="006310D7"/>
    <w:rsid w:val="00653B23"/>
    <w:rsid w:val="0066319F"/>
    <w:rsid w:val="00665E29"/>
    <w:rsid w:val="00672E30"/>
    <w:rsid w:val="00681ABB"/>
    <w:rsid w:val="006821EB"/>
    <w:rsid w:val="00686644"/>
    <w:rsid w:val="00690EEF"/>
    <w:rsid w:val="00696A53"/>
    <w:rsid w:val="006A1670"/>
    <w:rsid w:val="006A5978"/>
    <w:rsid w:val="006B63F8"/>
    <w:rsid w:val="006C6392"/>
    <w:rsid w:val="006D464D"/>
    <w:rsid w:val="006E5776"/>
    <w:rsid w:val="006E7A67"/>
    <w:rsid w:val="006F285E"/>
    <w:rsid w:val="00703663"/>
    <w:rsid w:val="00711038"/>
    <w:rsid w:val="0071431A"/>
    <w:rsid w:val="00720EA2"/>
    <w:rsid w:val="00721725"/>
    <w:rsid w:val="00725B87"/>
    <w:rsid w:val="00733707"/>
    <w:rsid w:val="00744CED"/>
    <w:rsid w:val="00762AF7"/>
    <w:rsid w:val="00764FDC"/>
    <w:rsid w:val="00765923"/>
    <w:rsid w:val="0079191F"/>
    <w:rsid w:val="0079721A"/>
    <w:rsid w:val="007A1DA5"/>
    <w:rsid w:val="007A440F"/>
    <w:rsid w:val="007A7E78"/>
    <w:rsid w:val="007C0CA6"/>
    <w:rsid w:val="007D0356"/>
    <w:rsid w:val="007E337F"/>
    <w:rsid w:val="007E76FB"/>
    <w:rsid w:val="007F5666"/>
    <w:rsid w:val="00810A1D"/>
    <w:rsid w:val="0081412C"/>
    <w:rsid w:val="00817D48"/>
    <w:rsid w:val="00823CE5"/>
    <w:rsid w:val="00826FFF"/>
    <w:rsid w:val="00832B37"/>
    <w:rsid w:val="00837603"/>
    <w:rsid w:val="00837860"/>
    <w:rsid w:val="00851BD7"/>
    <w:rsid w:val="0085382E"/>
    <w:rsid w:val="0085555E"/>
    <w:rsid w:val="00856A71"/>
    <w:rsid w:val="008645F3"/>
    <w:rsid w:val="00866FF1"/>
    <w:rsid w:val="00882407"/>
    <w:rsid w:val="008845A9"/>
    <w:rsid w:val="0089202E"/>
    <w:rsid w:val="008B0BBD"/>
    <w:rsid w:val="008B2CC3"/>
    <w:rsid w:val="008B4294"/>
    <w:rsid w:val="008B79BC"/>
    <w:rsid w:val="008C2169"/>
    <w:rsid w:val="008D0CC4"/>
    <w:rsid w:val="008D46D5"/>
    <w:rsid w:val="00903CB5"/>
    <w:rsid w:val="00905311"/>
    <w:rsid w:val="009144DB"/>
    <w:rsid w:val="00914A47"/>
    <w:rsid w:val="00920DD8"/>
    <w:rsid w:val="00927C19"/>
    <w:rsid w:val="00934A65"/>
    <w:rsid w:val="009478A1"/>
    <w:rsid w:val="00963B1D"/>
    <w:rsid w:val="00963D51"/>
    <w:rsid w:val="009654B8"/>
    <w:rsid w:val="00966B85"/>
    <w:rsid w:val="00971254"/>
    <w:rsid w:val="0097299F"/>
    <w:rsid w:val="00984B8F"/>
    <w:rsid w:val="00987E7E"/>
    <w:rsid w:val="00990A68"/>
    <w:rsid w:val="009965A8"/>
    <w:rsid w:val="009A1A31"/>
    <w:rsid w:val="009B0304"/>
    <w:rsid w:val="009C09C8"/>
    <w:rsid w:val="009D301A"/>
    <w:rsid w:val="009D58F9"/>
    <w:rsid w:val="009F0574"/>
    <w:rsid w:val="009F28EA"/>
    <w:rsid w:val="00A31A5A"/>
    <w:rsid w:val="00A33B86"/>
    <w:rsid w:val="00A44CC4"/>
    <w:rsid w:val="00A4744D"/>
    <w:rsid w:val="00A5241F"/>
    <w:rsid w:val="00A55543"/>
    <w:rsid w:val="00A57A28"/>
    <w:rsid w:val="00A634CB"/>
    <w:rsid w:val="00A71414"/>
    <w:rsid w:val="00A76FA5"/>
    <w:rsid w:val="00A77646"/>
    <w:rsid w:val="00A83B1E"/>
    <w:rsid w:val="00A937B9"/>
    <w:rsid w:val="00A958C6"/>
    <w:rsid w:val="00A95FEA"/>
    <w:rsid w:val="00AA3F98"/>
    <w:rsid w:val="00AA7645"/>
    <w:rsid w:val="00AC668B"/>
    <w:rsid w:val="00AF1354"/>
    <w:rsid w:val="00AF4CD9"/>
    <w:rsid w:val="00B0640E"/>
    <w:rsid w:val="00B07027"/>
    <w:rsid w:val="00B23ED3"/>
    <w:rsid w:val="00B31B15"/>
    <w:rsid w:val="00B40175"/>
    <w:rsid w:val="00B4215F"/>
    <w:rsid w:val="00B43A04"/>
    <w:rsid w:val="00B47E11"/>
    <w:rsid w:val="00B47E9A"/>
    <w:rsid w:val="00B5224F"/>
    <w:rsid w:val="00B5431C"/>
    <w:rsid w:val="00B63459"/>
    <w:rsid w:val="00B76523"/>
    <w:rsid w:val="00B844E1"/>
    <w:rsid w:val="00B97407"/>
    <w:rsid w:val="00BC44C0"/>
    <w:rsid w:val="00BD1E6E"/>
    <w:rsid w:val="00BD3317"/>
    <w:rsid w:val="00BD52CC"/>
    <w:rsid w:val="00BF015B"/>
    <w:rsid w:val="00BF4978"/>
    <w:rsid w:val="00C0482F"/>
    <w:rsid w:val="00C161F7"/>
    <w:rsid w:val="00C37795"/>
    <w:rsid w:val="00C4729A"/>
    <w:rsid w:val="00C506E3"/>
    <w:rsid w:val="00C526FE"/>
    <w:rsid w:val="00C629ED"/>
    <w:rsid w:val="00C74C54"/>
    <w:rsid w:val="00C755F7"/>
    <w:rsid w:val="00C775CA"/>
    <w:rsid w:val="00C8105C"/>
    <w:rsid w:val="00C82259"/>
    <w:rsid w:val="00C82B53"/>
    <w:rsid w:val="00C927FE"/>
    <w:rsid w:val="00CB263D"/>
    <w:rsid w:val="00CC1F5C"/>
    <w:rsid w:val="00CD0F1E"/>
    <w:rsid w:val="00CE0F48"/>
    <w:rsid w:val="00CE4785"/>
    <w:rsid w:val="00CF001C"/>
    <w:rsid w:val="00CF4559"/>
    <w:rsid w:val="00D01DE3"/>
    <w:rsid w:val="00D0482E"/>
    <w:rsid w:val="00D05498"/>
    <w:rsid w:val="00D05F0C"/>
    <w:rsid w:val="00D22A4D"/>
    <w:rsid w:val="00D30460"/>
    <w:rsid w:val="00D420C0"/>
    <w:rsid w:val="00D5070D"/>
    <w:rsid w:val="00D52F4F"/>
    <w:rsid w:val="00D62ABD"/>
    <w:rsid w:val="00D66B8F"/>
    <w:rsid w:val="00D67C7C"/>
    <w:rsid w:val="00D807BF"/>
    <w:rsid w:val="00D84CCB"/>
    <w:rsid w:val="00DA355B"/>
    <w:rsid w:val="00DA3BBF"/>
    <w:rsid w:val="00DB392C"/>
    <w:rsid w:val="00DB5148"/>
    <w:rsid w:val="00DD08E7"/>
    <w:rsid w:val="00DE1AFF"/>
    <w:rsid w:val="00DE2E67"/>
    <w:rsid w:val="00DF1BD2"/>
    <w:rsid w:val="00E02E76"/>
    <w:rsid w:val="00E10087"/>
    <w:rsid w:val="00E106B9"/>
    <w:rsid w:val="00E2142F"/>
    <w:rsid w:val="00E21844"/>
    <w:rsid w:val="00E22ABC"/>
    <w:rsid w:val="00E2712E"/>
    <w:rsid w:val="00E41C93"/>
    <w:rsid w:val="00E60DA7"/>
    <w:rsid w:val="00E7307E"/>
    <w:rsid w:val="00E83E6D"/>
    <w:rsid w:val="00E93C03"/>
    <w:rsid w:val="00E95A5E"/>
    <w:rsid w:val="00EB4875"/>
    <w:rsid w:val="00EC166C"/>
    <w:rsid w:val="00ED17C2"/>
    <w:rsid w:val="00F12BF1"/>
    <w:rsid w:val="00F270FF"/>
    <w:rsid w:val="00F35660"/>
    <w:rsid w:val="00F45A84"/>
    <w:rsid w:val="00F45B3E"/>
    <w:rsid w:val="00F47E7D"/>
    <w:rsid w:val="00F6733F"/>
    <w:rsid w:val="00F70EEB"/>
    <w:rsid w:val="00F901D2"/>
    <w:rsid w:val="00FC2DBF"/>
    <w:rsid w:val="00FC5BA2"/>
    <w:rsid w:val="00FD76BE"/>
    <w:rsid w:val="00FE0353"/>
    <w:rsid w:val="00FE1113"/>
    <w:rsid w:val="00FE1AAC"/>
    <w:rsid w:val="00FE2BDA"/>
    <w:rsid w:val="00FE7EA3"/>
    <w:rsid w:val="00FF1911"/>
    <w:rsid w:val="00FF28F4"/>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A9DB"/>
  <w15:chartTrackingRefBased/>
  <w15:docId w15:val="{030AC1E5-EE1C-42B3-9783-67CAAA95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8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555E"/>
    <w:pPr>
      <w:spacing w:after="0" w:line="240" w:lineRule="auto"/>
    </w:pPr>
  </w:style>
  <w:style w:type="character" w:customStyle="1" w:styleId="Heading1Char">
    <w:name w:val="Heading 1 Char"/>
    <w:basedOn w:val="DefaultParagraphFont"/>
    <w:link w:val="Heading1"/>
    <w:uiPriority w:val="9"/>
    <w:rsid w:val="003C781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98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43A04"/>
  </w:style>
  <w:style w:type="character" w:styleId="Hyperlink">
    <w:name w:val="Hyperlink"/>
    <w:basedOn w:val="DefaultParagraphFont"/>
    <w:uiPriority w:val="99"/>
    <w:unhideWhenUsed/>
    <w:rsid w:val="006D464D"/>
    <w:rPr>
      <w:color w:val="0563C1" w:themeColor="hyperlink"/>
      <w:u w:val="single"/>
    </w:rPr>
  </w:style>
  <w:style w:type="character" w:styleId="UnresolvedMention">
    <w:name w:val="Unresolved Mention"/>
    <w:basedOn w:val="DefaultParagraphFont"/>
    <w:uiPriority w:val="99"/>
    <w:semiHidden/>
    <w:unhideWhenUsed/>
    <w:rsid w:val="006D464D"/>
    <w:rPr>
      <w:color w:val="605E5C"/>
      <w:shd w:val="clear" w:color="auto" w:fill="E1DFDD"/>
    </w:rPr>
  </w:style>
  <w:style w:type="character" w:customStyle="1" w:styleId="Heading2Char">
    <w:name w:val="Heading 2 Char"/>
    <w:basedOn w:val="DefaultParagraphFont"/>
    <w:link w:val="Heading2"/>
    <w:uiPriority w:val="9"/>
    <w:rsid w:val="00E106B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DE2E67"/>
    <w:pPr>
      <w:ind w:left="720"/>
      <w:contextualSpacing/>
    </w:pPr>
  </w:style>
  <w:style w:type="paragraph" w:styleId="Title">
    <w:name w:val="Title"/>
    <w:basedOn w:val="Normal"/>
    <w:next w:val="Normal"/>
    <w:link w:val="TitleChar"/>
    <w:uiPriority w:val="10"/>
    <w:qFormat/>
    <w:rsid w:val="00512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40"/>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85382E"/>
  </w:style>
  <w:style w:type="character" w:styleId="CommentReference">
    <w:name w:val="annotation reference"/>
    <w:basedOn w:val="DefaultParagraphFont"/>
    <w:uiPriority w:val="99"/>
    <w:semiHidden/>
    <w:unhideWhenUsed/>
    <w:rsid w:val="00E22ABC"/>
    <w:rPr>
      <w:sz w:val="16"/>
      <w:szCs w:val="16"/>
    </w:rPr>
  </w:style>
  <w:style w:type="paragraph" w:styleId="CommentText">
    <w:name w:val="annotation text"/>
    <w:basedOn w:val="Normal"/>
    <w:link w:val="CommentTextChar"/>
    <w:uiPriority w:val="99"/>
    <w:unhideWhenUsed/>
    <w:rsid w:val="00E22ABC"/>
    <w:pPr>
      <w:spacing w:line="240" w:lineRule="auto"/>
    </w:pPr>
    <w:rPr>
      <w:sz w:val="20"/>
      <w:szCs w:val="20"/>
    </w:rPr>
  </w:style>
  <w:style w:type="character" w:customStyle="1" w:styleId="CommentTextChar">
    <w:name w:val="Comment Text Char"/>
    <w:basedOn w:val="DefaultParagraphFont"/>
    <w:link w:val="CommentText"/>
    <w:uiPriority w:val="99"/>
    <w:rsid w:val="00E22ABC"/>
    <w:rPr>
      <w:sz w:val="20"/>
      <w:szCs w:val="20"/>
    </w:rPr>
  </w:style>
  <w:style w:type="paragraph" w:styleId="CommentSubject">
    <w:name w:val="annotation subject"/>
    <w:basedOn w:val="CommentText"/>
    <w:next w:val="CommentText"/>
    <w:link w:val="CommentSubjectChar"/>
    <w:uiPriority w:val="99"/>
    <w:semiHidden/>
    <w:unhideWhenUsed/>
    <w:rsid w:val="00E22ABC"/>
    <w:rPr>
      <w:b/>
      <w:bCs/>
    </w:rPr>
  </w:style>
  <w:style w:type="character" w:customStyle="1" w:styleId="CommentSubjectChar">
    <w:name w:val="Comment Subject Char"/>
    <w:basedOn w:val="CommentTextChar"/>
    <w:link w:val="CommentSubject"/>
    <w:uiPriority w:val="99"/>
    <w:semiHidden/>
    <w:rsid w:val="00E22ABC"/>
    <w:rPr>
      <w:b/>
      <w:bCs/>
      <w:sz w:val="20"/>
      <w:szCs w:val="20"/>
    </w:rPr>
  </w:style>
  <w:style w:type="paragraph" w:styleId="FootnoteText">
    <w:name w:val="footnote text"/>
    <w:basedOn w:val="Normal"/>
    <w:link w:val="FootnoteTextChar"/>
    <w:uiPriority w:val="99"/>
    <w:semiHidden/>
    <w:unhideWhenUsed/>
    <w:rsid w:val="00C92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7FE"/>
    <w:rPr>
      <w:sz w:val="20"/>
      <w:szCs w:val="20"/>
    </w:rPr>
  </w:style>
  <w:style w:type="character" w:styleId="FootnoteReference">
    <w:name w:val="footnote reference"/>
    <w:basedOn w:val="DefaultParagraphFont"/>
    <w:uiPriority w:val="99"/>
    <w:semiHidden/>
    <w:unhideWhenUsed/>
    <w:rsid w:val="00C92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rvo.nl/subsidies-programmes/land-at-sca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lam@zoa.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amphuis@zoa.ngo" TargetMode="External"/><Relationship Id="rId5" Type="http://schemas.openxmlformats.org/officeDocument/2006/relationships/webSettings" Target="webSettings.xml"/><Relationship Id="rId10" Type="http://schemas.openxmlformats.org/officeDocument/2006/relationships/hyperlink" Target="mailto:a.tlam@zoa.ngo" TargetMode="External"/><Relationship Id="rId4" Type="http://schemas.openxmlformats.org/officeDocument/2006/relationships/settings" Target="settings.xml"/><Relationship Id="rId9" Type="http://schemas.openxmlformats.org/officeDocument/2006/relationships/hyperlink" Target="mailto:h.kamphuis@zoa.n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B168-9704-47AF-A6DE-4CD620E3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20195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 Lam - ZOA Burundi</dc:creator>
  <cp:keywords/>
  <dc:description/>
  <cp:lastModifiedBy>Meij, L. (Lisette)</cp:lastModifiedBy>
  <cp:revision>2</cp:revision>
  <dcterms:created xsi:type="dcterms:W3CDTF">2022-01-18T08:59:00Z</dcterms:created>
  <dcterms:modified xsi:type="dcterms:W3CDTF">2022-01-18T08:59:00Z</dcterms:modified>
</cp:coreProperties>
</file>